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46" w:rsidRDefault="00404597">
      <w:pPr>
        <w:rPr>
          <w:sz w:val="0"/>
          <w:szCs w:val="0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72175" cy="9325359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32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  <w:r w:rsidR="00CC20E3">
        <w:br w:type="page"/>
      </w:r>
    </w:p>
    <w:p w:rsidR="000F7F46" w:rsidRPr="00404597" w:rsidRDefault="000F630F">
      <w:pPr>
        <w:rPr>
          <w:sz w:val="0"/>
          <w:szCs w:val="0"/>
          <w:lang w:val="ru-RU"/>
        </w:rPr>
      </w:pPr>
      <w:r w:rsidRPr="000F630F">
        <w:rPr>
          <w:noProof/>
          <w:lang w:val="ru-RU" w:eastAsia="ru-RU"/>
        </w:rPr>
        <w:lastRenderedPageBreak/>
        <w:drawing>
          <wp:inline distT="0" distB="0" distL="0" distR="0">
            <wp:extent cx="5792424" cy="4699591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32" cy="469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0E3" w:rsidRPr="004045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131"/>
        </w:trPr>
        <w:tc>
          <w:tcPr>
            <w:tcW w:w="3119" w:type="dxa"/>
          </w:tcPr>
          <w:p w:rsidR="000F7F46" w:rsidRDefault="000F7F46"/>
        </w:tc>
        <w:tc>
          <w:tcPr>
            <w:tcW w:w="6238" w:type="dxa"/>
          </w:tcPr>
          <w:p w:rsidR="000F7F46" w:rsidRDefault="000F7F46"/>
        </w:tc>
      </w:tr>
      <w:tr w:rsidR="000F7F4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Default="000F7F46"/>
        </w:tc>
      </w:tr>
      <w:tr w:rsidR="000F7F46">
        <w:trPr>
          <w:trHeight w:hRule="exact" w:val="13"/>
        </w:trPr>
        <w:tc>
          <w:tcPr>
            <w:tcW w:w="3119" w:type="dxa"/>
          </w:tcPr>
          <w:p w:rsidR="000F7F46" w:rsidRDefault="000F7F46"/>
        </w:tc>
        <w:tc>
          <w:tcPr>
            <w:tcW w:w="6238" w:type="dxa"/>
          </w:tcPr>
          <w:p w:rsidR="000F7F46" w:rsidRDefault="000F7F46"/>
        </w:tc>
      </w:tr>
      <w:tr w:rsidR="000F7F4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Default="000F7F46"/>
        </w:tc>
      </w:tr>
      <w:tr w:rsidR="000F7F46">
        <w:trPr>
          <w:trHeight w:hRule="exact" w:val="96"/>
        </w:trPr>
        <w:tc>
          <w:tcPr>
            <w:tcW w:w="3119" w:type="dxa"/>
          </w:tcPr>
          <w:p w:rsidR="000F7F46" w:rsidRDefault="000F7F46"/>
        </w:tc>
        <w:tc>
          <w:tcPr>
            <w:tcW w:w="6238" w:type="dxa"/>
          </w:tcPr>
          <w:p w:rsidR="000F7F46" w:rsidRDefault="000F7F46"/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0F7F46" w:rsidRPr="000F630F">
        <w:trPr>
          <w:trHeight w:hRule="exact" w:val="138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0F7F46" w:rsidRPr="000F630F">
        <w:trPr>
          <w:trHeight w:hRule="exact" w:val="277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3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96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0F7F46" w:rsidRPr="000F630F">
        <w:trPr>
          <w:trHeight w:hRule="exact" w:val="138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0F7F46" w:rsidRPr="000F630F">
        <w:trPr>
          <w:trHeight w:hRule="exact" w:val="277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3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96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0F7F46" w:rsidRPr="000F630F">
        <w:trPr>
          <w:trHeight w:hRule="exact" w:val="138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0F7F46" w:rsidRPr="000F630F">
        <w:trPr>
          <w:trHeight w:hRule="exact" w:val="277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3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96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0F7F46" w:rsidRPr="000F630F">
        <w:trPr>
          <w:trHeight w:hRule="exact" w:val="138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0F7F46" w:rsidRPr="000F630F">
        <w:trPr>
          <w:trHeight w:hRule="exact" w:val="277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3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96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0F7F46" w:rsidRPr="000F630F">
        <w:trPr>
          <w:trHeight w:hRule="exact" w:val="138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555"/>
        </w:trPr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0F7F46" w:rsidRPr="00404597" w:rsidRDefault="00CC20E3">
      <w:pPr>
        <w:rPr>
          <w:sz w:val="0"/>
          <w:szCs w:val="0"/>
          <w:lang w:val="ru-RU"/>
        </w:rPr>
      </w:pPr>
      <w:r w:rsidRPr="004045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F7F46" w:rsidRPr="00E959D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качеством»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404597">
              <w:rPr>
                <w:lang w:val="ru-RU"/>
              </w:rPr>
              <w:t xml:space="preserve"> </w:t>
            </w:r>
            <w:proofErr w:type="spellStart"/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proofErr w:type="spellEnd"/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04597">
              <w:rPr>
                <w:lang w:val="ru-RU"/>
              </w:rPr>
              <w:t xml:space="preserve"> </w:t>
            </w:r>
            <w:r w:rsidR="00DC34FB"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общепрофессиональных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C3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E959D3">
        <w:trPr>
          <w:trHeight w:hRule="exact" w:val="138"/>
        </w:trPr>
        <w:tc>
          <w:tcPr>
            <w:tcW w:w="1985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0F7F46" w:rsidRPr="000F63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инжиниринг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138"/>
        </w:trPr>
        <w:tc>
          <w:tcPr>
            <w:tcW w:w="1985" w:type="dxa"/>
          </w:tcPr>
          <w:p w:rsidR="000F7F46" w:rsidRDefault="000F7F46"/>
        </w:tc>
        <w:tc>
          <w:tcPr>
            <w:tcW w:w="7372" w:type="dxa"/>
          </w:tcPr>
          <w:p w:rsidR="000F7F46" w:rsidRDefault="000F7F46"/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04597">
              <w:rPr>
                <w:lang w:val="ru-RU"/>
              </w:rPr>
              <w:t xml:space="preserve"> </w:t>
            </w:r>
            <w:proofErr w:type="gramEnd"/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качеством»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277"/>
        </w:trPr>
        <w:tc>
          <w:tcPr>
            <w:tcW w:w="1985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0F7F46" w:rsidRPr="000F630F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ОПК-9      способностью использовать принципы системы менеджмента качества</w:t>
            </w:r>
          </w:p>
        </w:tc>
      </w:tr>
      <w:tr w:rsidR="000F7F46" w:rsidRPr="000F630F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общие, общесистемные и специал</w:t>
            </w:r>
            <w:r w:rsid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ьные принципы управления качест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вом;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методы управления качеством продукции;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российских и международных стандартов серии ИСО 9000 по обеспечению качества продукции;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 сертификации продукции и систем управления качеством</w:t>
            </w:r>
          </w:p>
        </w:tc>
      </w:tr>
      <w:tr w:rsidR="000F7F4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F7F46" w:rsidRPr="000F630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инструментами управления качеством на всех этапах жизненного цикла продукции;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планирования, управления и аудита систем качества</w:t>
            </w:r>
          </w:p>
        </w:tc>
      </w:tr>
      <w:tr w:rsidR="000F7F46" w:rsidRPr="000F630F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</w:tbl>
    <w:p w:rsidR="000F7F46" w:rsidRPr="00404597" w:rsidRDefault="00CC20E3">
      <w:pPr>
        <w:rPr>
          <w:sz w:val="0"/>
          <w:szCs w:val="0"/>
          <w:lang w:val="ru-RU"/>
        </w:rPr>
      </w:pPr>
      <w:r w:rsidRPr="004045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F7F46" w:rsidRPr="000F630F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отечественного и зару</w:t>
            </w:r>
            <w:r w:rsid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бежного опыта управления качест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вом;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существующих систе</w:t>
            </w:r>
            <w:r w:rsid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 управления и обеспечения каче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ства;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методы прогнозирован</w:t>
            </w:r>
            <w:r w:rsid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и обеспечения заданного уров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ня качества продукции</w:t>
            </w:r>
          </w:p>
        </w:tc>
      </w:tr>
      <w:tr w:rsidR="000F7F46" w:rsidRPr="000F630F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и применять набор необ</w:t>
            </w:r>
            <w:r w:rsid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ходимых инструментов для улучше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системы качества;</w:t>
            </w:r>
          </w:p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статистические методы оценки качества продукции</w:t>
            </w:r>
          </w:p>
        </w:tc>
      </w:tr>
      <w:tr w:rsidR="000F7F46" w:rsidRPr="000F63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решения управленческих задач для повышения качества и конкурентоспособности продукции</w:t>
            </w:r>
          </w:p>
        </w:tc>
      </w:tr>
      <w:tr w:rsidR="000F7F46" w:rsidRPr="000F630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ОПК-8     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0F7F46" w:rsidRPr="00E959D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 основные принципы и организационн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подходы к управлению качеством;</w:t>
            </w:r>
          </w:p>
        </w:tc>
      </w:tr>
      <w:tr w:rsidR="000F7F46" w:rsidRPr="000F63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стандарты и другие нормативны документы при оценке, контроле качества и сертификации продукции</w:t>
            </w:r>
          </w:p>
        </w:tc>
      </w:tr>
      <w:tr w:rsidR="000F7F46" w:rsidRPr="000F630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качества, стандар</w:t>
            </w:r>
            <w:r w:rsid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тизации и сертификации материа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лов и процессов;</w:t>
            </w:r>
          </w:p>
        </w:tc>
      </w:tr>
    </w:tbl>
    <w:p w:rsidR="000F7F46" w:rsidRPr="00404597" w:rsidRDefault="00CC20E3">
      <w:pPr>
        <w:rPr>
          <w:sz w:val="0"/>
          <w:szCs w:val="0"/>
          <w:lang w:val="ru-RU"/>
        </w:rPr>
      </w:pPr>
      <w:r w:rsidRPr="004045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485"/>
        <w:gridCol w:w="408"/>
        <w:gridCol w:w="533"/>
        <w:gridCol w:w="639"/>
        <w:gridCol w:w="677"/>
        <w:gridCol w:w="556"/>
        <w:gridCol w:w="1543"/>
        <w:gridCol w:w="1608"/>
        <w:gridCol w:w="1243"/>
      </w:tblGrid>
      <w:tr w:rsidR="000F7F46" w:rsidRPr="000F630F" w:rsidTr="00CC20E3">
        <w:trPr>
          <w:trHeight w:hRule="exact" w:val="285"/>
        </w:trPr>
        <w:tc>
          <w:tcPr>
            <w:tcW w:w="69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869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404597" w:rsidTr="00CC20E3">
        <w:trPr>
          <w:trHeight w:hRule="exact" w:val="2257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122,4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404597" w:rsidTr="00CC20E3">
        <w:trPr>
          <w:trHeight w:hRule="exact" w:val="138"/>
        </w:trPr>
        <w:tc>
          <w:tcPr>
            <w:tcW w:w="69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485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40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53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3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677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55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54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608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24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Tr="00CC20E3">
        <w:trPr>
          <w:trHeight w:hRule="exact" w:val="972"/>
        </w:trPr>
        <w:tc>
          <w:tcPr>
            <w:tcW w:w="21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F7F46" w:rsidTr="00CC20E3">
        <w:trPr>
          <w:trHeight w:hRule="exact" w:val="833"/>
        </w:trPr>
        <w:tc>
          <w:tcPr>
            <w:tcW w:w="21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F7F46" w:rsidRDefault="000F7F4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F7F46" w:rsidRDefault="000F7F46"/>
        </w:tc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1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</w:tr>
      <w:tr w:rsidR="000F7F46" w:rsidRPr="000F630F" w:rsidTr="00CC20E3">
        <w:trPr>
          <w:trHeight w:hRule="exact" w:val="893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основополагающие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67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Tr="00CC20E3">
        <w:trPr>
          <w:trHeight w:hRule="exact" w:val="1137"/>
        </w:trPr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основополагающие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lang w:val="ru-RU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0F7F46" w:rsidTr="00CC20E3">
        <w:trPr>
          <w:trHeight w:hRule="exact" w:val="277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</w:tr>
      <w:tr w:rsidR="000F7F46" w:rsidTr="00CC20E3">
        <w:trPr>
          <w:trHeight w:hRule="exact" w:val="673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t xml:space="preserve"> </w:t>
            </w:r>
          </w:p>
        </w:tc>
        <w:tc>
          <w:tcPr>
            <w:tcW w:w="67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</w:tr>
      <w:tr w:rsidR="00CC20E3" w:rsidTr="00CC20E3">
        <w:trPr>
          <w:trHeight w:hRule="exact" w:val="1796"/>
        </w:trPr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lang w:val="ru-RU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CC20E3" w:rsidTr="00CC20E3">
        <w:trPr>
          <w:trHeight w:hRule="exact" w:val="277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Tr="00CC20E3">
        <w:trPr>
          <w:trHeight w:hRule="exact" w:val="454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Механизм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t xml:space="preserve"> </w:t>
            </w:r>
          </w:p>
        </w:tc>
        <w:tc>
          <w:tcPr>
            <w:tcW w:w="67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Tr="00CC20E3">
        <w:trPr>
          <w:trHeight w:hRule="exact" w:val="1796"/>
        </w:trPr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Механизм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28,4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lang w:val="ru-RU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CC20E3" w:rsidTr="00CC20E3">
        <w:trPr>
          <w:trHeight w:hRule="exact" w:val="277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28,4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Tr="00CC20E3">
        <w:trPr>
          <w:trHeight w:hRule="exact" w:val="454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t xml:space="preserve"> </w:t>
            </w:r>
          </w:p>
        </w:tc>
        <w:tc>
          <w:tcPr>
            <w:tcW w:w="67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Tr="00CC20E3">
        <w:trPr>
          <w:trHeight w:hRule="exact" w:val="1796"/>
        </w:trPr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качеством</w:t>
            </w:r>
            <w:proofErr w:type="spellEnd"/>
            <w: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lang w:val="ru-RU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CC20E3" w:rsidTr="00CC20E3">
        <w:trPr>
          <w:trHeight w:hRule="exact" w:val="277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RPr="000F630F" w:rsidTr="00CC20E3">
        <w:trPr>
          <w:trHeight w:hRule="exact" w:val="673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67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rPr>
                <w:lang w:val="ru-RU"/>
              </w:rPr>
            </w:pPr>
          </w:p>
        </w:tc>
      </w:tr>
      <w:tr w:rsidR="00CC20E3" w:rsidTr="00CC20E3">
        <w:trPr>
          <w:trHeight w:hRule="exact" w:val="1137"/>
        </w:trPr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404597" w:rsidRDefault="00CC20E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lang w:val="ru-RU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CC20E3" w:rsidTr="00CC20E3">
        <w:trPr>
          <w:trHeight w:hRule="exact" w:val="277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Tr="00CC20E3">
        <w:trPr>
          <w:trHeight w:hRule="exact" w:val="277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</w:tr>
      <w:tr w:rsidR="00CC20E3" w:rsidTr="00CC20E3">
        <w:trPr>
          <w:trHeight w:hRule="exact" w:val="903"/>
        </w:trPr>
        <w:tc>
          <w:tcPr>
            <w:tcW w:w="25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/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Default="00CC20E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</w:t>
            </w:r>
          </w:p>
          <w:p w:rsidR="00CC20E3" w:rsidRPr="00CC20E3" w:rsidRDefault="00CC20E3" w:rsidP="00CC20E3">
            <w:pPr>
              <w:spacing w:after="0" w:line="240" w:lineRule="auto"/>
              <w:jc w:val="center"/>
              <w:rPr>
                <w:lang w:val="ru-RU"/>
              </w:rPr>
            </w:pPr>
            <w:r w:rsidRPr="00CC20E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</w:tbl>
    <w:p w:rsidR="000F7F46" w:rsidRDefault="00CC20E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F7F4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138"/>
        </w:trPr>
        <w:tc>
          <w:tcPr>
            <w:tcW w:w="9357" w:type="dxa"/>
          </w:tcPr>
          <w:p w:rsidR="000F7F46" w:rsidRDefault="000F7F46"/>
        </w:tc>
      </w:tr>
      <w:tr w:rsidR="000F7F46" w:rsidRPr="000F630F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404597">
              <w:rPr>
                <w:lang w:val="ru-RU"/>
              </w:rPr>
              <w:t xml:space="preserve"> </w:t>
            </w:r>
            <w:proofErr w:type="spellStart"/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направ-ляемую</w:t>
            </w:r>
            <w:proofErr w:type="spellEnd"/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нестандартных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277"/>
        </w:trPr>
        <w:tc>
          <w:tcPr>
            <w:tcW w:w="9357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E959D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F7F46">
        <w:trPr>
          <w:trHeight w:hRule="exact" w:val="138"/>
        </w:trPr>
        <w:tc>
          <w:tcPr>
            <w:tcW w:w="9357" w:type="dxa"/>
          </w:tcPr>
          <w:p w:rsidR="000F7F46" w:rsidRDefault="000F7F46"/>
        </w:tc>
      </w:tr>
      <w:tr w:rsidR="000F7F46" w:rsidRPr="000F63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F7F46">
        <w:trPr>
          <w:trHeight w:hRule="exact" w:val="138"/>
        </w:trPr>
        <w:tc>
          <w:tcPr>
            <w:tcW w:w="9357" w:type="dxa"/>
          </w:tcPr>
          <w:p w:rsidR="000F7F46" w:rsidRDefault="000F7F46"/>
        </w:tc>
      </w:tr>
      <w:tr w:rsidR="000F7F46" w:rsidRPr="000F630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F7F46" w:rsidRPr="00E959D3">
        <w:trPr>
          <w:trHeight w:hRule="exact" w:val="191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Аристов.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404597">
              <w:rPr>
                <w:lang w:val="ru-RU"/>
              </w:rPr>
              <w:t xml:space="preserve"> </w:t>
            </w:r>
            <w:proofErr w:type="spellStart"/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=343266</w:t>
            </w:r>
            <w:r w:rsidRPr="00404597">
              <w:rPr>
                <w:lang w:val="ru-RU"/>
              </w:rPr>
              <w:t xml:space="preserve"> 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Михеева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Сероштан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ашков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532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978-5-394-01078-1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=148455</w:t>
            </w:r>
            <w:r w:rsidRPr="00404597">
              <w:rPr>
                <w:lang w:val="ru-RU"/>
              </w:rPr>
              <w:t xml:space="preserve"> 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E959D3">
        <w:trPr>
          <w:trHeight w:hRule="exact" w:val="138"/>
        </w:trPr>
        <w:tc>
          <w:tcPr>
            <w:tcW w:w="9357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</w:tbl>
    <w:p w:rsidR="000F7F46" w:rsidRDefault="00CC20E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2445"/>
        <w:gridCol w:w="3728"/>
        <w:gridCol w:w="2837"/>
        <w:gridCol w:w="107"/>
      </w:tblGrid>
      <w:tr w:rsidR="000F7F46" w:rsidRPr="00E959D3">
        <w:trPr>
          <w:trHeight w:hRule="exact" w:val="704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Ю.Т.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Шестопал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Дорофеев,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Н.Ю.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Шестопал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331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404597">
              <w:rPr>
                <w:lang w:val="ru-RU"/>
              </w:rPr>
              <w:t xml:space="preserve"> </w:t>
            </w:r>
            <w:proofErr w:type="spellStart"/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978-5-16-003321-1.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/992046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13.10.2020).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Чуриков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978-5-9558-0198-8.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/503665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13.10.2020).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Агарков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Агарков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°»,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978-5-394-03767-2.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/1091808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13.10.2020).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187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404597">
              <w:rPr>
                <w:lang w:val="ru-RU"/>
              </w:rPr>
              <w:t xml:space="preserve"> 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=2899.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/1/1134304/2899.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978-5-9967-0838-3.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Ручинская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04597">
              <w:rPr>
                <w:lang w:val="ru-RU"/>
              </w:rPr>
              <w:t xml:space="preserve"> </w:t>
            </w:r>
            <w:proofErr w:type="spell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Ручинская</w:t>
            </w:r>
            <w:proofErr w:type="spell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404597">
              <w:rPr>
                <w:lang w:val="ru-RU"/>
              </w:rPr>
              <w:t xml:space="preserve"> 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/1/1078974/64.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E959D3">
        <w:trPr>
          <w:trHeight w:hRule="exact" w:val="138"/>
        </w:trPr>
        <w:tc>
          <w:tcPr>
            <w:tcW w:w="42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F7F46" w:rsidRPr="00E959D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измерений»: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04597">
              <w:rPr>
                <w:lang w:val="ru-RU"/>
              </w:rPr>
              <w:t xml:space="preserve"> 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Гун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Г.С.,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Лактионов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Б.И.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взаимозаменяемость:</w:t>
            </w:r>
            <w:r w:rsidRPr="00404597">
              <w:rPr>
                <w:lang w:val="ru-RU"/>
              </w:rPr>
              <w:t xml:space="preserve"> </w:t>
            </w:r>
            <w:proofErr w:type="spellStart"/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Лаборатор-ный</w:t>
            </w:r>
            <w:proofErr w:type="spellEnd"/>
            <w:proofErr w:type="gramEnd"/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МГГУ,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2001.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(переиздание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г.).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E959D3">
        <w:trPr>
          <w:trHeight w:hRule="exact" w:val="138"/>
        </w:trPr>
        <w:tc>
          <w:tcPr>
            <w:tcW w:w="42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277"/>
        </w:trPr>
        <w:tc>
          <w:tcPr>
            <w:tcW w:w="42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F7F46">
        <w:trPr>
          <w:trHeight w:hRule="exact" w:val="555"/>
        </w:trPr>
        <w:tc>
          <w:tcPr>
            <w:tcW w:w="426" w:type="dxa"/>
          </w:tcPr>
          <w:p w:rsidR="000F7F46" w:rsidRDefault="000F7F4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818"/>
        </w:trPr>
        <w:tc>
          <w:tcPr>
            <w:tcW w:w="426" w:type="dxa"/>
          </w:tcPr>
          <w:p w:rsidR="000F7F46" w:rsidRDefault="000F7F4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826"/>
        </w:trPr>
        <w:tc>
          <w:tcPr>
            <w:tcW w:w="426" w:type="dxa"/>
          </w:tcPr>
          <w:p w:rsidR="000F7F46" w:rsidRDefault="000F7F4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555"/>
        </w:trPr>
        <w:tc>
          <w:tcPr>
            <w:tcW w:w="426" w:type="dxa"/>
          </w:tcPr>
          <w:p w:rsidR="000F7F46" w:rsidRDefault="000F7F4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285"/>
        </w:trPr>
        <w:tc>
          <w:tcPr>
            <w:tcW w:w="426" w:type="dxa"/>
          </w:tcPr>
          <w:p w:rsidR="000F7F46" w:rsidRDefault="000F7F4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285"/>
        </w:trPr>
        <w:tc>
          <w:tcPr>
            <w:tcW w:w="426" w:type="dxa"/>
          </w:tcPr>
          <w:p w:rsidR="000F7F46" w:rsidRDefault="000F7F4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</w:tbl>
    <w:p w:rsidR="000F7F46" w:rsidRDefault="00CC20E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562"/>
        <w:gridCol w:w="3321"/>
        <w:gridCol w:w="136"/>
      </w:tblGrid>
      <w:tr w:rsidR="000F7F46" w:rsidRPr="000F630F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270"/>
        </w:trPr>
        <w:tc>
          <w:tcPr>
            <w:tcW w:w="42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14"/>
        </w:trPr>
        <w:tc>
          <w:tcPr>
            <w:tcW w:w="426" w:type="dxa"/>
          </w:tcPr>
          <w:p w:rsidR="000F7F46" w:rsidRDefault="000F7F46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540"/>
        </w:trPr>
        <w:tc>
          <w:tcPr>
            <w:tcW w:w="426" w:type="dxa"/>
          </w:tcPr>
          <w:p w:rsidR="000F7F46" w:rsidRDefault="000F7F46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0F7F46"/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826"/>
        </w:trPr>
        <w:tc>
          <w:tcPr>
            <w:tcW w:w="426" w:type="dxa"/>
          </w:tcPr>
          <w:p w:rsidR="000F7F46" w:rsidRDefault="000F7F4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555"/>
        </w:trPr>
        <w:tc>
          <w:tcPr>
            <w:tcW w:w="426" w:type="dxa"/>
          </w:tcPr>
          <w:p w:rsidR="000F7F46" w:rsidRDefault="000F7F4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555"/>
        </w:trPr>
        <w:tc>
          <w:tcPr>
            <w:tcW w:w="426" w:type="dxa"/>
          </w:tcPr>
          <w:p w:rsidR="000F7F46" w:rsidRDefault="000F7F4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>
        <w:trPr>
          <w:trHeight w:hRule="exact" w:val="826"/>
        </w:trPr>
        <w:tc>
          <w:tcPr>
            <w:tcW w:w="426" w:type="dxa"/>
          </w:tcPr>
          <w:p w:rsidR="000F7F46" w:rsidRDefault="000F7F46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Pr="00404597" w:rsidRDefault="00CC20E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0459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F46" w:rsidRDefault="00CC20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0F7F46" w:rsidRDefault="000F7F46"/>
        </w:tc>
      </w:tr>
      <w:tr w:rsidR="000F7F46" w:rsidRPr="000F630F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 w:rsidRPr="000F630F">
        <w:trPr>
          <w:trHeight w:hRule="exact" w:val="138"/>
        </w:trPr>
        <w:tc>
          <w:tcPr>
            <w:tcW w:w="426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F7F46" w:rsidRPr="00404597" w:rsidRDefault="000F7F46">
            <w:pPr>
              <w:rPr>
                <w:lang w:val="ru-RU"/>
              </w:rPr>
            </w:pPr>
          </w:p>
        </w:tc>
      </w:tr>
      <w:tr w:rsidR="000F7F46" w:rsidRPr="000F630F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04597">
              <w:rPr>
                <w:lang w:val="ru-RU"/>
              </w:rPr>
              <w:t xml:space="preserve"> </w:t>
            </w:r>
          </w:p>
        </w:tc>
      </w:tr>
      <w:tr w:rsidR="000F7F46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материаловедению»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3.Учебная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0459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</w:t>
            </w:r>
            <w:r w:rsidRPr="00404597">
              <w:rPr>
                <w:lang w:val="ru-RU"/>
              </w:rPr>
              <w:t xml:space="preserve"> </w:t>
            </w:r>
          </w:p>
          <w:p w:rsidR="000F7F46" w:rsidRPr="00404597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5.Помещение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04597">
              <w:rPr>
                <w:lang w:val="ru-RU"/>
              </w:rPr>
              <w:t xml:space="preserve"> 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04597">
              <w:rPr>
                <w:lang w:val="ru-RU"/>
              </w:rPr>
              <w:t xml:space="preserve"> </w:t>
            </w:r>
          </w:p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0F7F46" w:rsidRDefault="00CC20E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F7F46">
        <w:trPr>
          <w:trHeight w:hRule="exact" w:val="7031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7F46" w:rsidRDefault="000F7F46"/>
        </w:tc>
      </w:tr>
    </w:tbl>
    <w:p w:rsidR="000F7F46" w:rsidRDefault="000F7F46">
      <w:pPr>
        <w:rPr>
          <w:lang w:val="ru-RU"/>
        </w:rPr>
      </w:pPr>
    </w:p>
    <w:p w:rsidR="00CC20E3" w:rsidRDefault="00CC20E3">
      <w:pPr>
        <w:rPr>
          <w:lang w:val="ru-RU"/>
        </w:rPr>
      </w:pPr>
    </w:p>
    <w:p w:rsidR="00CC20E3" w:rsidRDefault="00CC20E3">
      <w:pPr>
        <w:rPr>
          <w:lang w:val="ru-RU"/>
        </w:rPr>
      </w:pPr>
    </w:p>
    <w:p w:rsidR="00CC20E3" w:rsidRDefault="00CC20E3">
      <w:pPr>
        <w:rPr>
          <w:lang w:val="ru-RU"/>
        </w:rPr>
      </w:pPr>
    </w:p>
    <w:p w:rsidR="00CC20E3" w:rsidRDefault="00CC20E3">
      <w:pPr>
        <w:rPr>
          <w:lang w:val="ru-RU"/>
        </w:rPr>
      </w:pPr>
    </w:p>
    <w:p w:rsidR="00CC20E3" w:rsidRDefault="00CC20E3">
      <w:pPr>
        <w:rPr>
          <w:lang w:val="ru-RU"/>
        </w:rPr>
      </w:pPr>
    </w:p>
    <w:p w:rsidR="00CC20E3" w:rsidRPr="00CC20E3" w:rsidRDefault="00CC20E3" w:rsidP="00CC20E3">
      <w:pPr>
        <w:pStyle w:val="Style3"/>
        <w:widowControl/>
        <w:ind w:firstLine="720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C20E3" w:rsidRPr="00CC20E3" w:rsidRDefault="00CC20E3" w:rsidP="00CC20E3">
      <w:pPr>
        <w:pStyle w:val="Style3"/>
        <w:widowControl/>
        <w:ind w:firstLine="720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CC20E3" w:rsidRPr="00CC20E3" w:rsidRDefault="00CC20E3" w:rsidP="00CC20E3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CC20E3" w:rsidRPr="00CC20E3" w:rsidRDefault="00CC20E3" w:rsidP="00CC20E3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C20E3" w:rsidRPr="00CC20E3" w:rsidRDefault="00CC20E3" w:rsidP="00CC20E3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CC20E3">
        <w:rPr>
          <w:rStyle w:val="FontStyle21"/>
          <w:sz w:val="24"/>
          <w:szCs w:val="24"/>
        </w:rPr>
        <w:t xml:space="preserve">предусмотрена аудиторная и внеаудиторная самостоятельная работа обучающихся, которая </w:t>
      </w:r>
      <w:r w:rsidRPr="00CC20E3">
        <w:t xml:space="preserve">предполагает выполнение практических  работ </w:t>
      </w:r>
      <w:r w:rsidRPr="00CC20E3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20E3" w:rsidRPr="00CC20E3" w:rsidRDefault="00CC20E3" w:rsidP="00CC20E3">
      <w:pPr>
        <w:pStyle w:val="Style3"/>
        <w:widowControl/>
        <w:ind w:firstLine="720"/>
        <w:jc w:val="both"/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Практическая работа № 1 </w:t>
      </w:r>
      <w:r w:rsidRPr="00CC20E3">
        <w:t>«Диаграмма разброса»;</w:t>
      </w: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 «</w:t>
      </w:r>
      <w:r w:rsidRPr="00CC20E3">
        <w:t>Гистограмма»;</w:t>
      </w:r>
    </w:p>
    <w:p w:rsidR="00CC20E3" w:rsidRPr="00CC20E3" w:rsidRDefault="00CC20E3" w:rsidP="00CC20E3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>Практическая работа № 2 «</w:t>
      </w:r>
      <w:r w:rsidRPr="00CC20E3">
        <w:t>Контрольная карта»;</w:t>
      </w:r>
    </w:p>
    <w:p w:rsidR="00CC20E3" w:rsidRPr="00CC20E3" w:rsidRDefault="00CC20E3" w:rsidP="00CC20E3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>Практическая работа № 3  «</w:t>
      </w:r>
      <w:r w:rsidRPr="00CC20E3">
        <w:t xml:space="preserve">Диаграмма </w:t>
      </w:r>
      <w:proofErr w:type="spellStart"/>
      <w:r w:rsidRPr="00CC20E3">
        <w:t>Исикавы</w:t>
      </w:r>
      <w:proofErr w:type="spellEnd"/>
      <w:r w:rsidRPr="00CC20E3">
        <w:t>»;</w:t>
      </w: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CC20E3">
        <w:t>«Диаграмма Парето».</w:t>
      </w:r>
    </w:p>
    <w:p w:rsidR="00CC20E3" w:rsidRPr="00CC20E3" w:rsidRDefault="00CC20E3" w:rsidP="00CC20E3">
      <w:pPr>
        <w:pStyle w:val="Style3"/>
        <w:widowControl/>
        <w:ind w:firstLine="720"/>
        <w:jc w:val="both"/>
      </w:pPr>
      <w:r w:rsidRPr="00CC20E3"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:rsidR="00CC20E3" w:rsidRPr="00CC20E3" w:rsidRDefault="00CC20E3" w:rsidP="00CC20E3">
      <w:pPr>
        <w:pStyle w:val="Style3"/>
        <w:widowControl/>
        <w:ind w:firstLine="720"/>
        <w:jc w:val="both"/>
      </w:pPr>
      <w:r w:rsidRPr="00CC20E3">
        <w:t>Перечень вопросов, выносимых на самостоятельное изучение: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2"/>
          <w:i w:val="0"/>
          <w:iCs w:val="0"/>
          <w:sz w:val="24"/>
          <w:szCs w:val="24"/>
        </w:rPr>
      </w:pPr>
      <w:r w:rsidRPr="00CC20E3">
        <w:rPr>
          <w:rStyle w:val="FontStyle32"/>
          <w:i w:val="0"/>
          <w:sz w:val="24"/>
          <w:szCs w:val="24"/>
        </w:rPr>
        <w:t xml:space="preserve">Сущность и роль качества.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2"/>
          <w:i w:val="0"/>
          <w:iCs w:val="0"/>
          <w:sz w:val="24"/>
          <w:szCs w:val="24"/>
        </w:rPr>
      </w:pPr>
      <w:r w:rsidRPr="00CC20E3">
        <w:rPr>
          <w:rStyle w:val="FontStyle32"/>
          <w:i w:val="0"/>
          <w:sz w:val="24"/>
          <w:szCs w:val="24"/>
        </w:rPr>
        <w:t xml:space="preserve">Значение управления качеством в условиях рыночной экономики.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2"/>
          <w:i w:val="0"/>
          <w:iCs w:val="0"/>
          <w:sz w:val="24"/>
          <w:szCs w:val="24"/>
        </w:rPr>
      </w:pPr>
      <w:r w:rsidRPr="00CC20E3">
        <w:rPr>
          <w:rStyle w:val="FontStyle32"/>
          <w:i w:val="0"/>
          <w:sz w:val="24"/>
          <w:szCs w:val="24"/>
        </w:rPr>
        <w:t xml:space="preserve">Основополагающие понятия по управлению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2"/>
          <w:i w:val="0"/>
          <w:iCs w:val="0"/>
          <w:sz w:val="24"/>
          <w:szCs w:val="24"/>
        </w:rPr>
      </w:pPr>
      <w:r w:rsidRPr="00CC20E3">
        <w:rPr>
          <w:rStyle w:val="FontStyle32"/>
          <w:i w:val="0"/>
          <w:sz w:val="24"/>
          <w:szCs w:val="24"/>
        </w:rPr>
        <w:t xml:space="preserve">Стадии и этапы жизненного цикла продукции, услуг.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2"/>
          <w:i w:val="0"/>
          <w:iCs w:val="0"/>
          <w:sz w:val="24"/>
          <w:szCs w:val="24"/>
        </w:rPr>
      </w:pPr>
      <w:r w:rsidRPr="00CC20E3">
        <w:rPr>
          <w:rStyle w:val="FontStyle32"/>
          <w:i w:val="0"/>
          <w:sz w:val="24"/>
          <w:szCs w:val="24"/>
        </w:rPr>
        <w:t xml:space="preserve">Уровень качества.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2"/>
          <w:i w:val="0"/>
          <w:iCs w:val="0"/>
          <w:sz w:val="24"/>
          <w:szCs w:val="24"/>
        </w:rPr>
      </w:pPr>
      <w:r w:rsidRPr="00CC20E3">
        <w:rPr>
          <w:rStyle w:val="FontStyle32"/>
          <w:i w:val="0"/>
          <w:sz w:val="24"/>
          <w:szCs w:val="24"/>
        </w:rPr>
        <w:t xml:space="preserve">Законы спроса и предложения.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rPr>
          <w:rStyle w:val="FontStyle32"/>
          <w:i w:val="0"/>
          <w:sz w:val="24"/>
          <w:szCs w:val="24"/>
        </w:rPr>
        <w:t>Российский и международный опыт управления качеством.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Компоненты и звенья механизма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Формирование государственной политики в области качества.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 xml:space="preserve">Содержание концепции национальной политики России в области качества продукции, услуг.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sz w:val="24"/>
          <w:szCs w:val="24"/>
        </w:rPr>
        <w:t>Международные и национальные премии в области качества.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Необходимость и содержание системного подхода к управлению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Классификация и характеристика моделей систем качества.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Опыт отечественных предприятий по внедрению системного подхода к управлению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Гармонизация взглядов и подходов к управлению качеством на основе МС ИСО серии 9000.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Основные положения концепции всеобщего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Содержание процессного подхода к управлению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CC20E3">
        <w:t>Концепция постоянного управления.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Классификация методов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Организационно-распорядительные методы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Инженерно-технологические методы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proofErr w:type="gramStart"/>
      <w:r w:rsidRPr="00CC20E3">
        <w:t>Экономические методы</w:t>
      </w:r>
      <w:proofErr w:type="gramEnd"/>
      <w:r w:rsidRPr="00CC20E3">
        <w:t xml:space="preserve">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Социально-психологические методы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>Экспертные методы управления качеством.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Классификация видов исследования систем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>Комплексное исследование управления качеством и системный подход.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>Функционально-стоимостной анализ. Методы аудита и самооценки.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История создания стандартов качества.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Система стандартов ИСО семейства 9000.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Новая версия стандартов ИСО 9000:2000.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Подтверждение соответствия и сертификационное обеспечение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Сертификация систем менеджмента качества.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 xml:space="preserve">Документационное обеспечение системного управления качеством. </w:t>
      </w:r>
    </w:p>
    <w:p w:rsidR="00CC20E3" w:rsidRPr="00CC20E3" w:rsidRDefault="00CC20E3" w:rsidP="00CC20E3">
      <w:pPr>
        <w:pStyle w:val="Style3"/>
        <w:widowControl/>
        <w:numPr>
          <w:ilvl w:val="0"/>
          <w:numId w:val="1"/>
        </w:numPr>
        <w:jc w:val="both"/>
      </w:pPr>
      <w:r w:rsidRPr="00CC20E3">
        <w:t>Определение эффективности управления качеством.</w:t>
      </w:r>
    </w:p>
    <w:p w:rsidR="00CC20E3" w:rsidRPr="00CC20E3" w:rsidRDefault="00CC20E3" w:rsidP="00CC20E3">
      <w:pPr>
        <w:pStyle w:val="Style3"/>
        <w:widowControl/>
        <w:ind w:left="128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C20E3" w:rsidRPr="00CC20E3" w:rsidRDefault="00CC20E3" w:rsidP="00CC20E3">
      <w:pPr>
        <w:pStyle w:val="Style3"/>
        <w:widowControl/>
        <w:ind w:left="128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C20E3" w:rsidRPr="00CC20E3" w:rsidRDefault="00CC20E3" w:rsidP="00CC20E3">
      <w:pPr>
        <w:pStyle w:val="Style3"/>
        <w:widowControl/>
        <w:ind w:left="1287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C20E3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C20E3" w:rsidRPr="00CC20E3" w:rsidRDefault="00CC20E3" w:rsidP="00CC20E3">
      <w:pPr>
        <w:pStyle w:val="Style3"/>
        <w:widowControl/>
        <w:ind w:left="128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CC20E3" w:rsidRPr="00CC20E3" w:rsidRDefault="00CC20E3" w:rsidP="00CC20E3">
      <w:pPr>
        <w:ind w:left="360" w:firstLine="20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CC20E3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CC20E3" w:rsidRPr="00CC20E3" w:rsidRDefault="00CC20E3" w:rsidP="00CC20E3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  <w:u w:val="single"/>
        </w:rPr>
      </w:pPr>
    </w:p>
    <w:p w:rsidR="00CC20E3" w:rsidRDefault="00CC20E3" w:rsidP="00CC20E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7"/>
        <w:gridCol w:w="2607"/>
        <w:gridCol w:w="29"/>
        <w:gridCol w:w="5318"/>
      </w:tblGrid>
      <w:tr w:rsidR="00CC20E3" w:rsidRPr="00CC20E3" w:rsidTr="00F410A1">
        <w:trPr>
          <w:trHeight w:val="75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0E3" w:rsidRPr="00CC20E3" w:rsidRDefault="00CC20E3" w:rsidP="00CC2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3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0E3" w:rsidRPr="00CC20E3" w:rsidRDefault="00CC20E3" w:rsidP="00CC2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CC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0E3" w:rsidRPr="00CC20E3" w:rsidRDefault="00CC20E3" w:rsidP="00CC2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CC20E3" w:rsidRPr="000F630F" w:rsidTr="00F410A1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ОПК-9: способностью использовать принципы системы менеджмента качества</w:t>
            </w:r>
          </w:p>
        </w:tc>
      </w:tr>
      <w:tr w:rsidR="00CC20E3" w:rsidRPr="000F630F" w:rsidTr="00F410A1">
        <w:trPr>
          <w:trHeight w:val="225"/>
        </w:trPr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общие, общесистемные и специальные принципы управления качеством; </w:t>
            </w:r>
          </w:p>
          <w:p w:rsidR="00CC20E3" w:rsidRPr="00CC20E3" w:rsidRDefault="00CC20E3" w:rsidP="00CC20E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методы управления качеством продукции; </w:t>
            </w:r>
          </w:p>
          <w:p w:rsidR="00CC20E3" w:rsidRPr="00CC20E3" w:rsidRDefault="00CC20E3" w:rsidP="00CC20E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рекомендации российских и международных стандартов серии ИСО 9000 по обеспечению качества продукции; </w:t>
            </w:r>
          </w:p>
          <w:p w:rsidR="00CC20E3" w:rsidRPr="00CC20E3" w:rsidRDefault="00CC20E3" w:rsidP="00CC20E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сертификации продукции и систем управления качеством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0E3">
              <w:t xml:space="preserve">Сущность и роль качества. </w:t>
            </w:r>
            <w:r w:rsidRPr="00CC20E3">
              <w:rPr>
                <w:rStyle w:val="FontStyle32"/>
                <w:i w:val="0"/>
                <w:sz w:val="24"/>
                <w:szCs w:val="24"/>
              </w:rPr>
              <w:t>Основополагающие понятия по управлению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Уровни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Принципы и функции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Классификация методов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Становление научных основ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Необходимость и содержание системного подхода к управлению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Классификация и характеристика моделей систем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Гармонизация взглядов и подходов к управлению качеством на основе МС ИСО серии 9000.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Основные положения концепции всеобщего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Краткая характеристика МС ИСО серии 9000: 2000.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Содержание процессного подхода к управлению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Концепция постоянного управления.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Процессы жизненного цикла в системе менеджмента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Ориентация на потребителей в деятельности организации.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Основные элементы управления взаимоотношениями с потребителями.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Исследование удовлетворенности потребителей.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Влияние процесса проектирования и разработки на качество конечного продукта деятельности организации.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Основные элементы процесса проектирования и разработки.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Методы управления качеством в процессе </w:t>
            </w:r>
            <w:r w:rsidRPr="00CC20E3">
              <w:lastRenderedPageBreak/>
              <w:t>проектирования и разработки.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Элементы управления качеством в процессе закупок.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Методы оценки возможностей поставщиков.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Содержание и виды входного контроля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Формирование системы партнерских взаимоотношений с поставщиками.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Функции управления качеством, реализуемые в процессе производства и обслуживания.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Факторы, формирующие качество в процессе производства и обслуживания.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Классификация и содержание видов контроля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Статистические методы контроля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Система показателей качества продукции и методы их определения.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Организационно-</w:t>
            </w:r>
            <w:proofErr w:type="gramStart"/>
            <w:r w:rsidRPr="00CC20E3">
              <w:t>экономический  механизм</w:t>
            </w:r>
            <w:proofErr w:type="gramEnd"/>
            <w:r w:rsidRPr="00CC20E3">
              <w:t xml:space="preserve">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Стратегические цели и приоритеты управления качеством на различных уровнях деятельности.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Организационно-распорядительные методы управления качеством.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Инженерно-технологические методы управления качеством.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CC20E3">
              <w:t>Экономические методы</w:t>
            </w:r>
            <w:proofErr w:type="gramEnd"/>
            <w:r w:rsidRPr="00CC20E3">
              <w:t xml:space="preserve"> управления качеством.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Социально-психологические методы управления качеством.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Экспертные методы управления качеством.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Функционально-стоимостной анализ.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Методы аудита и самооценки.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Подтверждение соответствия и сертификационное обеспечение управления качеством.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Сертификация систем менеджмента качества. 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Документационное обеспечение системного управления качеством. </w:t>
            </w:r>
          </w:p>
          <w:p w:rsidR="00CC20E3" w:rsidRPr="00CC20E3" w:rsidRDefault="00CC20E3" w:rsidP="00CC20E3">
            <w:pPr>
              <w:pStyle w:val="Style3"/>
              <w:widowControl/>
              <w:tabs>
                <w:tab w:val="left" w:pos="426"/>
              </w:tabs>
              <w:jc w:val="both"/>
            </w:pPr>
          </w:p>
        </w:tc>
      </w:tr>
      <w:tr w:rsidR="00CC20E3" w:rsidRPr="000F630F" w:rsidTr="00F410A1">
        <w:trPr>
          <w:trHeight w:val="258"/>
        </w:trPr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CC20E3">
              <w:rPr>
                <w:rStyle w:val="FontStyle16"/>
                <w:b w:val="0"/>
                <w:sz w:val="24"/>
                <w:szCs w:val="24"/>
              </w:rPr>
              <w:t>применять методы контроля качества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практические задания для экзамена:</w:t>
            </w:r>
          </w:p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Составьте контрольный листок для регистрации: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измеряемого параметра в ходе производственного процесса;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видов дефектов;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оценки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воспроизводимости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и работоспособности процесса;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причин дефектов;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локализации дефектов.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2. По данным построить контрольную карту для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количественных данных: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среднего и размахов или выборочных стандартных отклонений;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индивидуальных значений и скользящих размахов;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медиан и размахов.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3. По данным построить контрольную карту для альтернативных данных: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долей несоответствующих единиц продукции или карту числа несоответствующих единиц;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карту числа несоответствий или карту числа несоответствий, приходящихся на единицу продукции. </w:t>
            </w:r>
          </w:p>
        </w:tc>
      </w:tr>
      <w:tr w:rsidR="00CC20E3" w:rsidRPr="000F630F" w:rsidTr="00F410A1">
        <w:trPr>
          <w:trHeight w:val="446"/>
        </w:trPr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CC20E3">
              <w:rPr>
                <w:color w:val="000000"/>
                <w:sz w:val="24"/>
                <w:szCs w:val="24"/>
              </w:rPr>
              <w:t>основными инструментами управления качеством на всех этапах жизненного цикла продукции;</w:t>
            </w:r>
          </w:p>
          <w:p w:rsidR="00CC20E3" w:rsidRPr="00CC20E3" w:rsidRDefault="00CC20E3" w:rsidP="00CC20E3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CC20E3">
              <w:rPr>
                <w:color w:val="000000"/>
                <w:sz w:val="24"/>
                <w:szCs w:val="24"/>
              </w:rPr>
              <w:t>методами планирования, управления и аудита систем качества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 xml:space="preserve">Пример задания на решение задач из профессиональной области: 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Пусть качество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неравнополочного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гнутого швеллера определяется тремя показателями: отклонением от ширины меньшей полки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, пределом текучести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и величиной скручивания профиля вокруг продольной оси f. Предельные значения по стандарту по этим показателям: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75 мм"/>
              </w:smartTagPr>
              <w:r w:rsidRPr="00CC20E3">
                <w:rPr>
                  <w:rFonts w:ascii="Times New Roman" w:hAnsi="Times New Roman"/>
                  <w:sz w:val="24"/>
                  <w:szCs w:val="24"/>
                </w:rPr>
                <w:t>0,75 мм</w:t>
              </w:r>
            </w:smartTag>
            <w:r w:rsidRPr="00CC20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310 МПа; </w:t>
            </w:r>
            <w:proofErr w:type="spellStart"/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= 0,5 град/м; базовые (номинальные) значения показателей: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=0;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380 МПА;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f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0. На разных заводах производят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неравнополочный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гнутый швеллер со следующими значениями показателей: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' = </w:t>
            </w:r>
            <w:smartTag w:uri="urn:schemas-microsoft-com:office:smarttags" w:element="metricconverter">
              <w:smartTagPr>
                <w:attr w:name="ProductID" w:val="0,30 мм"/>
              </w:smartTagPr>
              <w:r w:rsidRPr="00CC20E3">
                <w:rPr>
                  <w:rFonts w:ascii="Times New Roman" w:hAnsi="Times New Roman"/>
                  <w:sz w:val="24"/>
                  <w:szCs w:val="24"/>
                </w:rPr>
                <w:t>0,30 мм</w:t>
              </w:r>
            </w:smartTag>
            <w:r w:rsidRPr="00CC20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>' = 320 МПА; f'= 0,25 град/м;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"= </w:t>
            </w:r>
            <w:smartTag w:uri="urn:schemas-microsoft-com:office:smarttags" w:element="metricconverter">
              <w:smartTagPr>
                <w:attr w:name="ProductID" w:val="0,65 мм"/>
              </w:smartTagPr>
              <w:r w:rsidRPr="00CC20E3">
                <w:rPr>
                  <w:rFonts w:ascii="Times New Roman" w:hAnsi="Times New Roman"/>
                  <w:sz w:val="24"/>
                  <w:szCs w:val="24"/>
                </w:rPr>
                <w:t>0,65 мм</w:t>
              </w:r>
            </w:smartTag>
            <w:r w:rsidRPr="00CC20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>" = 360 МПа; f"= 0,30 град/м.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Определить единичные и комплексные показатели качества.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E3" w:rsidRPr="000F630F" w:rsidTr="00F410A1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ПК-1: способностью к анализу и синтезу</w:t>
            </w:r>
          </w:p>
        </w:tc>
      </w:tr>
      <w:tr w:rsidR="00CC20E3" w:rsidRPr="00CC20E3" w:rsidTr="00F410A1">
        <w:trPr>
          <w:trHeight w:val="225"/>
        </w:trPr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отечественного и зарубежного опыта управления качеством;</w:t>
            </w:r>
          </w:p>
          <w:p w:rsidR="00CC20E3" w:rsidRPr="00CC20E3" w:rsidRDefault="00CC20E3" w:rsidP="00CC20E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особенности существующих систем управления и обеспечения качества;</w:t>
            </w:r>
          </w:p>
          <w:p w:rsidR="00CC20E3" w:rsidRPr="00CC20E3" w:rsidRDefault="00CC20E3" w:rsidP="00CC20E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методы прогнозирования и обеспечения заданного уровня качества продукции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Вклад российских ученых в развитие теории и практики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Формирование и развитие американской школы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Основные положения японской школы управления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Опыт отечественных предприятий по внедрению системного подхода к управлению качеством.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Тенденции, характеризующие основные подходы к управлению качеством в отечественной и зарубежной практике.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Эволюция подходов к разработке государственной политики в области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 xml:space="preserve">Содержание концепции национальной политики России в области качества </w:t>
            </w:r>
            <w:r w:rsidRPr="00CC20E3">
              <w:lastRenderedPageBreak/>
              <w:t>продукции и услуг.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Национальные премии в области качества.</w:t>
            </w:r>
          </w:p>
          <w:p w:rsidR="00CC20E3" w:rsidRPr="00CC20E3" w:rsidRDefault="00CC20E3" w:rsidP="00CC20E3">
            <w:pPr>
              <w:pStyle w:val="a7"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Европейская премия в области качества.</w:t>
            </w:r>
          </w:p>
          <w:p w:rsidR="00CC20E3" w:rsidRPr="00CC20E3" w:rsidRDefault="00CC20E3" w:rsidP="00CC20E3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-68"/>
              </w:tabs>
              <w:ind w:left="357" w:hanging="357"/>
              <w:jc w:val="both"/>
            </w:pPr>
            <w:r w:rsidRPr="00CC20E3">
              <w:t>Определение эффективности управления качеством.</w:t>
            </w:r>
          </w:p>
        </w:tc>
      </w:tr>
      <w:tr w:rsidR="00CC20E3" w:rsidRPr="000F630F" w:rsidTr="00F410A1">
        <w:trPr>
          <w:trHeight w:val="258"/>
        </w:trPr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pStyle w:val="a5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CC20E3">
              <w:rPr>
                <w:rStyle w:val="FontStyle16"/>
                <w:b w:val="0"/>
                <w:sz w:val="24"/>
                <w:szCs w:val="24"/>
              </w:rPr>
              <w:t>выбирать и применять набор необходимых инструментов для улучшения системы качества;</w:t>
            </w:r>
          </w:p>
          <w:p w:rsidR="00CC20E3" w:rsidRPr="00CC20E3" w:rsidRDefault="00CC20E3" w:rsidP="00CC20E3">
            <w:pPr>
              <w:pStyle w:val="a5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C20E3">
              <w:rPr>
                <w:rStyle w:val="FontStyle16"/>
                <w:b w:val="0"/>
                <w:sz w:val="24"/>
                <w:szCs w:val="24"/>
              </w:rPr>
              <w:t>применять статистические методы оценки качества продукции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Примерные практические задания для экзамена: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1. С помощью диаграммы Парето проанализировать круг проблем: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число случаев брака, его виды;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потери от брака по видам брака;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затраты времени и материальных средств на исправление брака;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дефекты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комплектующих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затраты, связанные с рекламациями;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причины простоев;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причины аварий, поломок технологического оборудования, оснастки, инструмента;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причины несоблюдения технологической дисциплины и др.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2. Составить причинно-следственную диаграмму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анализе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брака готового изделия;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проектировании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новой продукции;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-модернизации производственных процессов.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3. Дать заключение о качестве партии продукции по выборке из 10 штук (</w:t>
            </w:r>
            <w:r w:rsidRPr="00CC20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10), если требования по нормативной документации следующие: 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0E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gramStart"/>
            <w:r w:rsidRPr="00CC20E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CC20E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240 условных единиц.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Замеренные значения: 160; 161; 162; 162; 170; 177; 180; 215; 220; 238.</w:t>
            </w:r>
          </w:p>
        </w:tc>
      </w:tr>
      <w:tr w:rsidR="00CC20E3" w:rsidRPr="00CC20E3" w:rsidTr="00F410A1">
        <w:trPr>
          <w:trHeight w:val="446"/>
        </w:trPr>
        <w:tc>
          <w:tcPr>
            <w:tcW w:w="8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E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pStyle w:val="a5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CC20E3">
              <w:rPr>
                <w:rStyle w:val="FontStyle16"/>
                <w:b w:val="0"/>
                <w:sz w:val="24"/>
                <w:szCs w:val="24"/>
              </w:rPr>
              <w:t>навыками решения управленческих задач для повышения качества и конкурентоспособности продукции</w:t>
            </w:r>
          </w:p>
        </w:tc>
        <w:tc>
          <w:tcPr>
            <w:tcW w:w="2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CC20E3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 xml:space="preserve">Примеры заданий на решение задач из профессиональной области: 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Установлено, что с изменением значений основных  показателей качества кокса меняется производительность доменной печи в следующих соотношениях: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содержания серы </w:t>
            </w:r>
            <w:proofErr w:type="spellStart"/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снижается на 20%;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зольности </w:t>
            </w:r>
            <w:proofErr w:type="spellStart"/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>на 1% производительность печи снижается на 2%;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дробимости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кокса М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40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повышается на 1,3%;</w:t>
            </w:r>
          </w:p>
          <w:p w:rsidR="00CC20E3" w:rsidRPr="00CC20E3" w:rsidRDefault="00CC20E3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истираемости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уменьшается на 3%.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Оцените уровень качества кокса, значения основных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качества которого соответствуют требованиям государственного стандарта. За базовые примем значения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 качества кокса, применяемого в Англии.</w:t>
            </w:r>
          </w:p>
          <w:p w:rsidR="00CC20E3" w:rsidRPr="00CC20E3" w:rsidRDefault="00CC20E3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Исходные данные для расчета приведены в таблице: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55"/>
              <w:gridCol w:w="722"/>
              <w:gridCol w:w="722"/>
              <w:gridCol w:w="727"/>
              <w:gridCol w:w="722"/>
            </w:tblGrid>
            <w:tr w:rsidR="00CC20E3" w:rsidRPr="00CC20E3" w:rsidTr="00CC20E3">
              <w:tc>
                <w:tcPr>
                  <w:tcW w:w="2267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proofErr w:type="spellStart"/>
                  <w:proofErr w:type="gramStart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  <w:t>б</w:t>
                  </w:r>
                </w:p>
              </w:tc>
              <w:tc>
                <w:tcPr>
                  <w:tcW w:w="727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m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q</w:t>
                  </w:r>
                </w:p>
              </w:tc>
            </w:tr>
            <w:tr w:rsidR="00CC20E3" w:rsidRPr="00CC20E3" w:rsidTr="00CC20E3">
              <w:tc>
                <w:tcPr>
                  <w:tcW w:w="2267" w:type="dxa"/>
                </w:tcPr>
                <w:p w:rsidR="00CC20E3" w:rsidRPr="00CC20E3" w:rsidRDefault="00CC20E3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серы </w:t>
                  </w:r>
                  <w:proofErr w:type="spellStart"/>
                  <w:proofErr w:type="gramStart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</w:t>
                  </w:r>
                  <w:proofErr w:type="gramEnd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proofErr w:type="spellEnd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0,7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1,2</w:t>
                  </w:r>
                </w:p>
              </w:tc>
              <w:tc>
                <w:tcPr>
                  <w:tcW w:w="727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-20,0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1,3</w:t>
                  </w:r>
                </w:p>
              </w:tc>
            </w:tr>
            <w:tr w:rsidR="00CC20E3" w:rsidRPr="00CC20E3" w:rsidTr="00CC20E3">
              <w:tc>
                <w:tcPr>
                  <w:tcW w:w="2267" w:type="dxa"/>
                </w:tcPr>
                <w:p w:rsidR="00CC20E3" w:rsidRPr="00CC20E3" w:rsidRDefault="00CC20E3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Зольность 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11,0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-2,0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</w:t>
                  </w:r>
                </w:p>
              </w:tc>
            </w:tr>
            <w:tr w:rsidR="00CC20E3" w:rsidRPr="00CC20E3" w:rsidTr="00CC20E3">
              <w:tc>
                <w:tcPr>
                  <w:tcW w:w="2267" w:type="dxa"/>
                </w:tcPr>
                <w:p w:rsidR="00CC20E3" w:rsidRPr="00CC20E3" w:rsidRDefault="00CC20E3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Показатель </w:t>
                  </w:r>
                  <w:proofErr w:type="spellStart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дробимости</w:t>
                  </w:r>
                  <w:proofErr w:type="spellEnd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40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78,0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70,0</w:t>
                  </w:r>
                </w:p>
              </w:tc>
              <w:tc>
                <w:tcPr>
                  <w:tcW w:w="727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+1,3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</w:t>
                  </w:r>
                </w:p>
              </w:tc>
            </w:tr>
            <w:tr w:rsidR="00CC20E3" w:rsidRPr="00CC20E3" w:rsidTr="00CC20E3">
              <w:tc>
                <w:tcPr>
                  <w:tcW w:w="2267" w:type="dxa"/>
                </w:tcPr>
                <w:p w:rsidR="00CC20E3" w:rsidRPr="00CC20E3" w:rsidRDefault="00CC20E3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Показатель </w:t>
                  </w:r>
                  <w:proofErr w:type="spellStart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истираемости</w:t>
                  </w:r>
                  <w:proofErr w:type="spellEnd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10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8,0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-3,0</w:t>
                  </w:r>
                </w:p>
              </w:tc>
              <w:tc>
                <w:tcPr>
                  <w:tcW w:w="724" w:type="dxa"/>
                </w:tcPr>
                <w:p w:rsidR="00CC20E3" w:rsidRPr="00CC20E3" w:rsidRDefault="00CC20E3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11,2</w:t>
                  </w:r>
                </w:p>
              </w:tc>
            </w:tr>
          </w:tbl>
          <w:p w:rsidR="00CC20E3" w:rsidRPr="00CC20E3" w:rsidRDefault="00CC20E3" w:rsidP="00CC20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0E3" w:rsidRPr="000F630F" w:rsidTr="00CC20E3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0E3" w:rsidRPr="00CC20E3" w:rsidRDefault="00F410A1" w:rsidP="00CC20E3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ОПК-8     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F410A1" w:rsidRPr="000F630F" w:rsidTr="00F410A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Default="00F410A1" w:rsidP="006A645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Pr="00404597" w:rsidRDefault="00F410A1" w:rsidP="006A64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 основные принципы и организационн</w:t>
            </w:r>
            <w:proofErr w:type="gramStart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подходы к управлению качеством;</w:t>
            </w:r>
          </w:p>
        </w:tc>
        <w:tc>
          <w:tcPr>
            <w:tcW w:w="28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Pr="00CC20E3" w:rsidRDefault="00F410A1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 с оценкой: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0E3">
              <w:t xml:space="preserve">Сущность и роль качества. </w:t>
            </w:r>
            <w:r w:rsidRPr="00CC20E3">
              <w:rPr>
                <w:rStyle w:val="FontStyle32"/>
                <w:i w:val="0"/>
                <w:sz w:val="24"/>
                <w:szCs w:val="24"/>
              </w:rPr>
              <w:t>Основополагающие понятия по управлению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Уровни управления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Принципы и функции управления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Классификация методов управления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Становление научных основ управления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Необходимость и содержание системного подхода к управлению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Классификация и характеристика моделей систем качества.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Гармонизация взглядов и подходов к управлению качеством на основе МС ИСО серии 9000.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Основные положения концепции всеобщего управления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Краткая характеристика МС ИСО серии 9000: 2000.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Содержание процессного подхода к управлению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Концепция постоянного управления.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Процессы жизненного цикла в системе менеджмента качества.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Ориентация на потребителей в деятельности организации.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Основные элементы управления взаимоотношениями с потребителями.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Исследование удовлетворенности потребителей.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Влияние процесса проектирования и </w:t>
            </w:r>
            <w:r w:rsidRPr="00CC20E3">
              <w:lastRenderedPageBreak/>
              <w:t>разработки на качество конечного продукта деятельности организации.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Основные элементы процесса проектирования и разработки.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Методы управления качеством в процессе проектирования и разработки.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Элементы управления качеством в процессе закупок.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Методы оценки возможностей поставщиков.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Содержание и виды входного контроля качества.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Формирование системы партнерских взаимоотношений с поставщиками.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Функции управления качеством, реализуемые в процессе производства и обслуживания.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Факторы, формирующие качество в процессе производства и обслуживания.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Классификация и содержание видов контроля качества.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Статистические методы контроля качества.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Система показателей качества продукции и методы их определения.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Организационно-</w:t>
            </w:r>
            <w:proofErr w:type="gramStart"/>
            <w:r w:rsidRPr="00CC20E3">
              <w:t>экономический  механизм</w:t>
            </w:r>
            <w:proofErr w:type="gramEnd"/>
            <w:r w:rsidRPr="00CC20E3">
              <w:t xml:space="preserve"> управления качеством.</w:t>
            </w:r>
          </w:p>
          <w:p w:rsidR="00F410A1" w:rsidRPr="00CC20E3" w:rsidRDefault="00F410A1" w:rsidP="00CC20E3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Стратегические цели и приоритеты управления качеством на различных уровнях деятельности.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Организационно-распорядительные методы управления качеством.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Инженерно-технологические методы управления качеством.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proofErr w:type="gramStart"/>
            <w:r w:rsidRPr="00CC20E3">
              <w:t>Экономические методы</w:t>
            </w:r>
            <w:proofErr w:type="gramEnd"/>
            <w:r w:rsidRPr="00CC20E3">
              <w:t xml:space="preserve"> управления качеством.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Социально-психологические методы управления качеством.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Экспертные методы управления качеством.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Функционально-стоимостной анализ.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>Методы аудита и самооценки.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Подтверждение соответствия и сертификационное обеспечение управления качеством.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Сертификация систем менеджмента качества. </w:t>
            </w:r>
          </w:p>
          <w:p w:rsidR="00F410A1" w:rsidRPr="00CC20E3" w:rsidRDefault="00F410A1" w:rsidP="00CC20E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CC20E3">
              <w:t xml:space="preserve">Документационное обеспечение системного управления качеством. </w:t>
            </w:r>
          </w:p>
          <w:p w:rsidR="00F410A1" w:rsidRPr="00CC20E3" w:rsidRDefault="00F410A1" w:rsidP="00CC20E3">
            <w:pPr>
              <w:pStyle w:val="Style3"/>
              <w:widowControl/>
              <w:tabs>
                <w:tab w:val="left" w:pos="426"/>
              </w:tabs>
              <w:jc w:val="both"/>
            </w:pPr>
          </w:p>
        </w:tc>
      </w:tr>
      <w:tr w:rsidR="00F410A1" w:rsidRPr="000F630F" w:rsidTr="00F410A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Default="00F410A1" w:rsidP="006A645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Pr="00404597" w:rsidRDefault="00F410A1" w:rsidP="006A64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стандарты и другие нормативны документы при оценке, контроле качества и сертификации продукции</w:t>
            </w:r>
          </w:p>
        </w:tc>
        <w:tc>
          <w:tcPr>
            <w:tcW w:w="28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Pr="00CC20E3" w:rsidRDefault="00F410A1" w:rsidP="00CC20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Примеры практических заданий:</w:t>
            </w:r>
          </w:p>
          <w:p w:rsidR="00F410A1" w:rsidRPr="00CC20E3" w:rsidRDefault="00F410A1" w:rsidP="00CC2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Составьте контрольный листок для регистрации: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измеряемого параметра в ходе производственного процесса;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видов дефектов;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оценки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воспроизводимости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и работоспособности процесса;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причин дефектов;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локализации дефектов.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2. По данным построить контрольную карту для количественных данных: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среднего и размахов или выборочных стандартных отклонений;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индивидуальных значений и скользящих размахов;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медиан и размахов.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3. По данным построить контрольную карту для альтернативных данных: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карту долей несоответствующих единиц продукции или карту числа несоответствующих единиц;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карту числа несоответствий или карту числа несоответствий, приходящихся на единицу продукции. 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4. С помощью диаграммы Парето проанализировать круг проблем: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число случаев брака, его виды;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потери от брака по видам брака;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затраты времени и материальных средств на исправление брака;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дефекты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комплектующих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затраты, связанные с рекламациями;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причины простоев;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причины аварий, поломок технологического оборудования, оснастки, инструмента;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 причины несоблюдения технологической дисциплины и др.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5. Составить причинно-следственную диаграмму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анализе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брака готового изделия;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проектировании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новой продукции;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-модернизации производственных процессов.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6. Дать заключение о качестве партии продукции по выборке из 10 штук (</w:t>
            </w:r>
            <w:r w:rsidRPr="00CC20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10), если требования по нормативной документации следующие: 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0E3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gramStart"/>
            <w:r w:rsidRPr="00CC20E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CC20E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240 условных единиц.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Замеренные значения: 160; 161; 162; 162; 170; 177; 180; 215; 220; 238.</w:t>
            </w:r>
          </w:p>
        </w:tc>
      </w:tr>
      <w:tr w:rsidR="00F410A1" w:rsidRPr="00CC20E3" w:rsidTr="00F410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Default="00F410A1" w:rsidP="006A645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Pr="00404597" w:rsidRDefault="00F410A1" w:rsidP="006A645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качества, стандар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тизации и сертификации материа</w:t>
            </w:r>
            <w:r w:rsidRPr="004045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лов и процессов;</w:t>
            </w:r>
          </w:p>
        </w:tc>
        <w:tc>
          <w:tcPr>
            <w:tcW w:w="28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410A1" w:rsidRPr="00CC20E3" w:rsidRDefault="00F410A1" w:rsidP="00CC20E3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CC20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Примеры практических заданий</w:t>
            </w:r>
            <w:proofErr w:type="gramStart"/>
            <w:r w:rsidRPr="00CC20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  <w:r w:rsidRPr="00CC20E3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 xml:space="preserve">: </w:t>
            </w:r>
            <w:proofErr w:type="gramEnd"/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1. Пусть качество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неравнополочного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гнутого швеллера определяется тремя показателями: отклонением от ширины меньшей полки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, пределом текучести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и величиной скручивания профиля вокруг продольной оси f. Предельные значения по стандарту по этим показателям: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= </w:t>
            </w:r>
            <w:smartTag w:uri="urn:schemas-microsoft-com:office:smarttags" w:element="metricconverter">
              <w:smartTagPr>
                <w:attr w:name="ProductID" w:val="0,75 мм"/>
              </w:smartTagPr>
              <w:r w:rsidRPr="00CC20E3">
                <w:rPr>
                  <w:rFonts w:ascii="Times New Roman" w:hAnsi="Times New Roman"/>
                  <w:sz w:val="24"/>
                  <w:szCs w:val="24"/>
                </w:rPr>
                <w:t>0,75 мм</w:t>
              </w:r>
            </w:smartTag>
            <w:r w:rsidRPr="00CC20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310 МПа; </w:t>
            </w:r>
            <w:proofErr w:type="spellStart"/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= 0,5 град/м; базовые (номинальные) значения показателей: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=0;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380 МПА;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f</w:t>
            </w:r>
            <w:r w:rsidRPr="00CC20E3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= 0. На разных заводах производят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неравнополочный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гнутый швеллер со следующими значениями показателей: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' = </w:t>
            </w:r>
            <w:smartTag w:uri="urn:schemas-microsoft-com:office:smarttags" w:element="metricconverter">
              <w:smartTagPr>
                <w:attr w:name="ProductID" w:val="0,30 мм"/>
              </w:smartTagPr>
              <w:r w:rsidRPr="00CC20E3">
                <w:rPr>
                  <w:rFonts w:ascii="Times New Roman" w:hAnsi="Times New Roman"/>
                  <w:sz w:val="24"/>
                  <w:szCs w:val="24"/>
                </w:rPr>
                <w:t>0,30 мм</w:t>
              </w:r>
            </w:smartTag>
            <w:r w:rsidRPr="00CC20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>' = 320 МПА; f'= 0,25 град/м;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CC20E3">
              <w:rPr>
                <w:rFonts w:ascii="Times New Roman" w:hAnsi="Times New Roman"/>
                <w:sz w:val="24"/>
                <w:szCs w:val="24"/>
              </w:rPr>
              <w:t>b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"= </w:t>
            </w:r>
            <w:smartTag w:uri="urn:schemas-microsoft-com:office:smarttags" w:element="metricconverter">
              <w:smartTagPr>
                <w:attr w:name="ProductID" w:val="0,65 мм"/>
              </w:smartTagPr>
              <w:r w:rsidRPr="00CC20E3">
                <w:rPr>
                  <w:rFonts w:ascii="Times New Roman" w:hAnsi="Times New Roman"/>
                  <w:sz w:val="24"/>
                  <w:szCs w:val="24"/>
                </w:rPr>
                <w:t>0,65 мм</w:t>
              </w:r>
            </w:smartTag>
            <w:r w:rsidRPr="00CC20E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>" = 360 МПа; f"= 0,30 град/м.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Определить единичные и комплексные показатели качества.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2. Установлено, что с изменением значений основных  показателей качества кокса меняется производительность доменной печи в следующих соотношениях: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содержания серы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S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снижается на 20%;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зольности </w:t>
            </w:r>
            <w:proofErr w:type="spellStart"/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>на 1% производительность печи снижается на 2%;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дробимости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кокса М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40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повышается на 1,3%;</w:t>
            </w:r>
          </w:p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при увеличении </w:t>
            </w:r>
            <w:proofErr w:type="spellStart"/>
            <w:r w:rsidRPr="00CC20E3">
              <w:rPr>
                <w:rFonts w:ascii="Times New Roman" w:hAnsi="Times New Roman"/>
                <w:sz w:val="24"/>
                <w:szCs w:val="24"/>
              </w:rPr>
              <w:t>истираемости</w:t>
            </w:r>
            <w:proofErr w:type="spell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C20E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уменьшается на 3%.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 xml:space="preserve">Оцените уровень качества кокса, значения основных </w:t>
            </w:r>
            <w:proofErr w:type="gramStart"/>
            <w:r w:rsidRPr="00CC20E3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gramEnd"/>
            <w:r w:rsidRPr="00CC20E3">
              <w:rPr>
                <w:rFonts w:ascii="Times New Roman" w:hAnsi="Times New Roman"/>
                <w:sz w:val="24"/>
                <w:szCs w:val="24"/>
              </w:rPr>
              <w:t xml:space="preserve"> качества которого соответствуют требованиям государственного стандарта. За базовые примем значения показателей качества кокса, применяемого в Англии.</w:t>
            </w:r>
          </w:p>
          <w:p w:rsidR="00F410A1" w:rsidRPr="00CC20E3" w:rsidRDefault="00F410A1" w:rsidP="00CC20E3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E3">
              <w:rPr>
                <w:rFonts w:ascii="Times New Roman" w:hAnsi="Times New Roman"/>
                <w:sz w:val="24"/>
                <w:szCs w:val="24"/>
              </w:rPr>
              <w:t>Исходные данные для расчета приведены в таблице: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7"/>
              <w:gridCol w:w="724"/>
              <w:gridCol w:w="724"/>
              <w:gridCol w:w="727"/>
              <w:gridCol w:w="724"/>
            </w:tblGrid>
            <w:tr w:rsidR="00F410A1" w:rsidRPr="00CC20E3" w:rsidTr="00CC20E3">
              <w:tc>
                <w:tcPr>
                  <w:tcW w:w="2267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proofErr w:type="spellStart"/>
                  <w:proofErr w:type="gramStart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  <w:t>б</w:t>
                  </w:r>
                </w:p>
              </w:tc>
              <w:tc>
                <w:tcPr>
                  <w:tcW w:w="727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m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q</w:t>
                  </w:r>
                </w:p>
              </w:tc>
            </w:tr>
            <w:tr w:rsidR="00F410A1" w:rsidRPr="00CC20E3" w:rsidTr="00CC20E3">
              <w:tc>
                <w:tcPr>
                  <w:tcW w:w="2267" w:type="dxa"/>
                </w:tcPr>
                <w:p w:rsidR="00F410A1" w:rsidRPr="00CC20E3" w:rsidRDefault="00F410A1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серы </w:t>
                  </w:r>
                  <w:proofErr w:type="spellStart"/>
                  <w:proofErr w:type="gramStart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</w:t>
                  </w:r>
                  <w:proofErr w:type="gramEnd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proofErr w:type="spellEnd"/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0,7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1,2</w:t>
                  </w:r>
                </w:p>
              </w:tc>
              <w:tc>
                <w:tcPr>
                  <w:tcW w:w="727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-20,0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1,3</w:t>
                  </w:r>
                </w:p>
              </w:tc>
            </w:tr>
            <w:tr w:rsidR="00F410A1" w:rsidRPr="00CC20E3" w:rsidTr="00CC20E3">
              <w:tc>
                <w:tcPr>
                  <w:tcW w:w="2267" w:type="dxa"/>
                </w:tcPr>
                <w:p w:rsidR="00F410A1" w:rsidRPr="00CC20E3" w:rsidRDefault="00F410A1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Зольность 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11,0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-2,0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</w:t>
                  </w:r>
                </w:p>
              </w:tc>
            </w:tr>
            <w:tr w:rsidR="00F410A1" w:rsidRPr="00CC20E3" w:rsidTr="00CC20E3">
              <w:tc>
                <w:tcPr>
                  <w:tcW w:w="2267" w:type="dxa"/>
                </w:tcPr>
                <w:p w:rsidR="00F410A1" w:rsidRPr="00CC20E3" w:rsidRDefault="00F410A1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Показатель </w:t>
                  </w:r>
                  <w:proofErr w:type="spellStart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дробимости</w:t>
                  </w:r>
                  <w:proofErr w:type="spellEnd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40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78,0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70,0</w:t>
                  </w:r>
                </w:p>
              </w:tc>
              <w:tc>
                <w:tcPr>
                  <w:tcW w:w="727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+1,3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</w:t>
                  </w:r>
                </w:p>
              </w:tc>
            </w:tr>
            <w:tr w:rsidR="00F410A1" w:rsidRPr="00CC20E3" w:rsidTr="00CC20E3">
              <w:tc>
                <w:tcPr>
                  <w:tcW w:w="2267" w:type="dxa"/>
                </w:tcPr>
                <w:p w:rsidR="00F410A1" w:rsidRPr="00CC20E3" w:rsidRDefault="00F410A1" w:rsidP="00CC20E3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Показатель </w:t>
                  </w:r>
                  <w:proofErr w:type="spellStart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истираемости</w:t>
                  </w:r>
                  <w:proofErr w:type="spellEnd"/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CC20E3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10</w:t>
                  </w:r>
                  <w:r w:rsidRPr="00CC20E3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8,0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-3,0</w:t>
                  </w:r>
                </w:p>
              </w:tc>
              <w:tc>
                <w:tcPr>
                  <w:tcW w:w="724" w:type="dxa"/>
                </w:tcPr>
                <w:p w:rsidR="00F410A1" w:rsidRPr="00CC20E3" w:rsidRDefault="00F410A1" w:rsidP="00CC20E3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C20E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11,2</w:t>
                  </w:r>
                </w:p>
              </w:tc>
            </w:tr>
          </w:tbl>
          <w:p w:rsidR="00F410A1" w:rsidRPr="00CC20E3" w:rsidRDefault="00F410A1" w:rsidP="00CC20E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0E3" w:rsidRPr="000B0F8B" w:rsidRDefault="00CC20E3" w:rsidP="00CC20E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20E3" w:rsidRPr="000B0F8B" w:rsidRDefault="00CC20E3" w:rsidP="00CC20E3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b/>
          <w:i/>
          <w:sz w:val="24"/>
          <w:szCs w:val="24"/>
          <w:lang w:val="ru-RU"/>
        </w:rPr>
        <w:t>б) Порядок проведения промежуточной аттестации, показатели и критерии оценивания.</w:t>
      </w:r>
    </w:p>
    <w:p w:rsidR="00CC20E3" w:rsidRPr="000B0F8B" w:rsidRDefault="00CC20E3" w:rsidP="00CC20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«Управление качеством» включает теоретические вопросы, позволяющие оценить уровень усвоения </w:t>
      </w:r>
      <w:proofErr w:type="gramStart"/>
      <w:r w:rsidRPr="000B0F8B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0B0F8B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CC20E3" w:rsidRPr="000B0F8B" w:rsidRDefault="00CC20E3" w:rsidP="00CC20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Экзамен </w:t>
      </w: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FA2E81" w:rsidRDefault="00FA2E81" w:rsidP="00CC20E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A2E81" w:rsidRDefault="00FA2E81" w:rsidP="00CC20E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C20E3" w:rsidRPr="000B0F8B" w:rsidRDefault="00CC20E3" w:rsidP="00CC20E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Показатели и критерии оценивания экзамена:</w:t>
      </w:r>
    </w:p>
    <w:p w:rsidR="00CC20E3" w:rsidRPr="000B0F8B" w:rsidRDefault="00CC20E3" w:rsidP="00CC2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B0F8B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0B0F8B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CC20E3" w:rsidRPr="000B0F8B" w:rsidRDefault="00CC20E3" w:rsidP="00CC2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B0F8B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0B0F8B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CC20E3" w:rsidRPr="000B0F8B" w:rsidRDefault="00CC20E3" w:rsidP="00CC2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B0F8B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0B0F8B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CC20E3" w:rsidRPr="000B0F8B" w:rsidRDefault="00CC20E3" w:rsidP="00CC2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B0F8B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</w:t>
      </w:r>
      <w:proofErr w:type="gramStart"/>
      <w:r w:rsidRPr="000B0F8B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C20E3" w:rsidRPr="000B0F8B" w:rsidRDefault="00CC20E3" w:rsidP="00CC20E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B0F8B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B0F8B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C20E3" w:rsidRPr="000B0F8B" w:rsidRDefault="00CC20E3" w:rsidP="00CC20E3">
      <w:pPr>
        <w:spacing w:after="0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CC20E3" w:rsidRPr="000B0F8B" w:rsidRDefault="00CC20E3" w:rsidP="00CC20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C20E3" w:rsidRPr="00CC20E3" w:rsidRDefault="00CC20E3">
      <w:pPr>
        <w:rPr>
          <w:lang w:val="ru-RU"/>
        </w:rPr>
      </w:pPr>
    </w:p>
    <w:sectPr w:rsidR="00CC20E3" w:rsidRPr="00CC20E3" w:rsidSect="000F7F4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D92EC1"/>
    <w:multiLevelType w:val="hybridMultilevel"/>
    <w:tmpl w:val="B82642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1C952FF"/>
    <w:multiLevelType w:val="hybridMultilevel"/>
    <w:tmpl w:val="B54CCAEC"/>
    <w:lvl w:ilvl="0" w:tplc="54BE6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630F"/>
    <w:rsid w:val="000F7F46"/>
    <w:rsid w:val="001F0BC7"/>
    <w:rsid w:val="00404597"/>
    <w:rsid w:val="00CC20E3"/>
    <w:rsid w:val="00D31453"/>
    <w:rsid w:val="00DA7853"/>
    <w:rsid w:val="00DC34FB"/>
    <w:rsid w:val="00E209E2"/>
    <w:rsid w:val="00E959D3"/>
    <w:rsid w:val="00EE729B"/>
    <w:rsid w:val="00F410A1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5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CC2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CC20E3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C20E3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basedOn w:val="a0"/>
    <w:rsid w:val="00CC20E3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C20E3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rsid w:val="00CC20E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CC20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Стиль"/>
    <w:rsid w:val="00CC2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Plain Text"/>
    <w:basedOn w:val="a"/>
    <w:link w:val="a9"/>
    <w:rsid w:val="00CC20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C20E3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6">
    <w:name w:val="Font Style16"/>
    <w:basedOn w:val="a0"/>
    <w:rsid w:val="00CC20E3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3890</Words>
  <Characters>28173</Characters>
  <Application>Microsoft Office Word</Application>
  <DocSecurity>0</DocSecurity>
  <Lines>234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2020-2021_b22_03_02-зММб-20-2_28_plx_Управление качеством</vt:lpstr>
      <vt:lpstr>Лист1</vt:lpstr>
    </vt:vector>
  </TitlesOfParts>
  <Company/>
  <LinksUpToDate>false</LinksUpToDate>
  <CharactersWithSpaces>32000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2020-2021_b22_03_02-зММб-20-2_28_plx_Управление качеством</dc:title>
  <dc:creator>FastReport.NET</dc:creator>
  <cp:lastModifiedBy>Моллер</cp:lastModifiedBy>
  <cp:revision>8</cp:revision>
  <dcterms:created xsi:type="dcterms:W3CDTF">2020-10-19T10:31:00Z</dcterms:created>
  <dcterms:modified xsi:type="dcterms:W3CDTF">2020-12-04T10:07:00Z</dcterms:modified>
</cp:coreProperties>
</file>