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16" w:rsidRPr="00425D92" w:rsidRDefault="00A21816" w:rsidP="00A21816">
      <w:pPr>
        <w:widowControl/>
        <w:ind w:firstLine="0"/>
        <w:jc w:val="center"/>
        <w:rPr>
          <w:bCs/>
          <w:i/>
          <w:sz w:val="20"/>
          <w:szCs w:val="20"/>
        </w:rPr>
      </w:pPr>
    </w:p>
    <w:p w:rsidR="007754E4" w:rsidRPr="000B374F" w:rsidRDefault="007D1FBC" w:rsidP="00D20BF6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6307503" cy="9039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019" cy="903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16" w:rsidRPr="00425D92">
        <w:rPr>
          <w:bCs/>
        </w:rPr>
        <w:br w:type="page"/>
      </w:r>
      <w:r>
        <w:rPr>
          <w:b/>
          <w:noProof/>
        </w:rPr>
        <w:lastRenderedPageBreak/>
        <w:drawing>
          <wp:inline distT="0" distB="0" distL="0" distR="0">
            <wp:extent cx="6284915" cy="85122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15" cy="851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6257925" cy="79166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6"/>
                    <a:stretch/>
                  </pic:blipFill>
                  <pic:spPr bwMode="auto">
                    <a:xfrm>
                      <a:off x="0" y="0"/>
                      <a:ext cx="6265402" cy="792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3CC" w:rsidRPr="000B374F">
        <w:rPr>
          <w:rStyle w:val="FontStyle16"/>
          <w:bCs w:val="0"/>
          <w:sz w:val="24"/>
          <w:szCs w:val="24"/>
        </w:rPr>
        <w:br w:type="page"/>
      </w:r>
      <w:r w:rsidR="005E0FCA" w:rsidRPr="000B374F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является пов</w:t>
      </w:r>
      <w:r w:rsidR="00F92BDA" w:rsidRPr="00C52F4A">
        <w:rPr>
          <w:bCs/>
        </w:rPr>
        <w:t>ы</w:t>
      </w:r>
      <w:r w:rsidR="00F92BDA" w:rsidRPr="00C52F4A">
        <w:rPr>
          <w:bCs/>
        </w:rPr>
        <w:t xml:space="preserve">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</w:t>
      </w:r>
      <w:r w:rsidR="00F92BDA" w:rsidRPr="00C52F4A">
        <w:rPr>
          <w:bCs/>
        </w:rPr>
        <w:t>м</w:t>
      </w:r>
      <w:r w:rsidR="00F92BDA" w:rsidRPr="00C52F4A">
        <w:rPr>
          <w:bCs/>
        </w:rPr>
        <w:t xml:space="preserve">петенций в соответствии с требованиями ФГОС </w:t>
      </w:r>
      <w:proofErr w:type="gramStart"/>
      <w:r w:rsidR="00F92BDA" w:rsidRPr="00C52F4A">
        <w:rPr>
          <w:bCs/>
        </w:rPr>
        <w:t>ВО</w:t>
      </w:r>
      <w:proofErr w:type="gramEnd"/>
      <w:r w:rsidR="00F92BDA" w:rsidRPr="00C52F4A">
        <w:rPr>
          <w:bCs/>
        </w:rPr>
        <w:t xml:space="preserve"> </w:t>
      </w:r>
      <w:proofErr w:type="gramStart"/>
      <w:r w:rsidR="00F92BDA" w:rsidRPr="00C52F4A">
        <w:rPr>
          <w:bCs/>
        </w:rPr>
        <w:t>по</w:t>
      </w:r>
      <w:proofErr w:type="gramEnd"/>
      <w:r w:rsidR="00F92BDA" w:rsidRPr="00C52F4A">
        <w:rPr>
          <w:bCs/>
        </w:rPr>
        <w:t xml:space="preserve">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proofErr w:type="gramStart"/>
      <w:r w:rsidRPr="0037538A">
        <w:rPr>
          <w:sz w:val="24"/>
          <w:szCs w:val="24"/>
        </w:rPr>
        <w:t>Для эффективного геолого-маркшейдерского сопровождения отработки разведа</w:t>
      </w:r>
      <w:r w:rsidRPr="0037538A">
        <w:rPr>
          <w:sz w:val="24"/>
          <w:szCs w:val="24"/>
        </w:rPr>
        <w:t>н</w:t>
      </w:r>
      <w:r w:rsidRPr="0037538A">
        <w:rPr>
          <w:sz w:val="24"/>
          <w:szCs w:val="24"/>
        </w:rPr>
        <w:t>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ваний металлургической</w:t>
      </w:r>
      <w:proofErr w:type="gramEnd"/>
      <w:r w:rsidRPr="0037538A">
        <w:rPr>
          <w:sz w:val="24"/>
          <w:szCs w:val="24"/>
        </w:rPr>
        <w:t xml:space="preserve"> промышленности к качеству исходных материалов, предста</w:t>
      </w:r>
      <w:r w:rsidRPr="0037538A">
        <w:rPr>
          <w:sz w:val="24"/>
          <w:szCs w:val="24"/>
        </w:rPr>
        <w:t>в</w:t>
      </w:r>
      <w:r w:rsidRPr="0037538A">
        <w:rPr>
          <w:sz w:val="24"/>
          <w:szCs w:val="24"/>
        </w:rPr>
        <w:t>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proofErr w:type="gramStart"/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гащения, обеспечивающие комплексное использование руд и соответствующие техн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логии добычи, с применением современной высокопроизводительной техники и 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  <w:proofErr w:type="gramEnd"/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</w:t>
      </w:r>
      <w:r w:rsidR="00F92BDA">
        <w:rPr>
          <w:rStyle w:val="FontStyle16"/>
          <w:b w:val="0"/>
          <w:sz w:val="24"/>
          <w:szCs w:val="24"/>
        </w:rPr>
        <w:t>и</w:t>
      </w:r>
      <w:r w:rsidR="00F92BDA">
        <w:rPr>
          <w:rStyle w:val="FontStyle16"/>
          <w:b w:val="0"/>
          <w:sz w:val="24"/>
          <w:szCs w:val="24"/>
        </w:rPr>
        <w:t>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C34F0B">
        <w:rPr>
          <w:bCs/>
        </w:rPr>
        <w:t>дисциплин: М</w:t>
      </w:r>
      <w:r w:rsidR="00E217E8">
        <w:rPr>
          <w:bCs/>
        </w:rPr>
        <w:t>атематик</w:t>
      </w:r>
      <w:r w:rsidR="00C34F0B">
        <w:rPr>
          <w:bCs/>
        </w:rPr>
        <w:t>а</w:t>
      </w:r>
      <w:r w:rsidR="00E217E8" w:rsidRPr="000B374F">
        <w:rPr>
          <w:bCs/>
        </w:rPr>
        <w:t xml:space="preserve">, </w:t>
      </w:r>
      <w:r w:rsidR="00C34F0B">
        <w:rPr>
          <w:bCs/>
        </w:rPr>
        <w:t>Ф</w:t>
      </w:r>
      <w:r w:rsidR="00E217E8" w:rsidRPr="000B374F">
        <w:rPr>
          <w:bCs/>
        </w:rPr>
        <w:t>изик</w:t>
      </w:r>
      <w:r w:rsidR="00C34F0B">
        <w:rPr>
          <w:bCs/>
        </w:rPr>
        <w:t>а</w:t>
      </w:r>
      <w:r w:rsidR="00E217E8" w:rsidRPr="000B374F">
        <w:rPr>
          <w:bCs/>
        </w:rPr>
        <w:t xml:space="preserve">, </w:t>
      </w:r>
      <w:r w:rsidR="00C34F0B">
        <w:rPr>
          <w:bCs/>
        </w:rPr>
        <w:t>Х</w:t>
      </w:r>
      <w:r w:rsidR="00E217E8" w:rsidRPr="000B374F">
        <w:rPr>
          <w:bCs/>
        </w:rPr>
        <w:t>ими</w:t>
      </w:r>
      <w:r w:rsidR="00C34F0B">
        <w:rPr>
          <w:bCs/>
        </w:rPr>
        <w:t>я</w:t>
      </w:r>
      <w:r w:rsidR="00E217E8" w:rsidRPr="000B374F">
        <w:rPr>
          <w:bCs/>
        </w:rPr>
        <w:t xml:space="preserve">, </w:t>
      </w:r>
      <w:r w:rsidR="00C34F0B">
        <w:t>Геология, О</w:t>
      </w:r>
      <w:r w:rsidR="00C34F0B">
        <w:t>с</w:t>
      </w:r>
      <w:r w:rsidR="00C34F0B">
        <w:t xml:space="preserve">новы горного дела, </w:t>
      </w:r>
      <w:proofErr w:type="spellStart"/>
      <w:r w:rsidR="00C34F0B">
        <w:t>Геомеханика</w:t>
      </w:r>
      <w:proofErr w:type="spellEnd"/>
      <w:r w:rsidR="00392C8F">
        <w:t>.</w:t>
      </w:r>
    </w:p>
    <w:p w:rsidR="00C34F0B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</w:t>
      </w:r>
      <w:r w:rsidR="00392C8F">
        <w:t>е</w:t>
      </w:r>
      <w:r w:rsidR="00392C8F">
        <w:t xml:space="preserve">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</w:t>
      </w:r>
      <w:r w:rsidR="00392C8F" w:rsidRPr="000B374F">
        <w:rPr>
          <w:bCs/>
        </w:rPr>
        <w:t>е</w:t>
      </w:r>
      <w:r w:rsidR="00392C8F" w:rsidRPr="000B374F">
        <w:rPr>
          <w:bCs/>
        </w:rPr>
        <w:t>ри</w:t>
      </w:r>
      <w:r w:rsidR="003E2656">
        <w:rPr>
          <w:bCs/>
        </w:rPr>
        <w:t>я»</w:t>
      </w:r>
      <w:r w:rsidR="003E2656">
        <w:t>.</w:t>
      </w:r>
      <w:r w:rsidR="00392C8F">
        <w:t xml:space="preserve">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данной </w:t>
      </w:r>
      <w:r w:rsidR="003E2656">
        <w:t>дисциплины необходим</w:t>
      </w:r>
      <w:r w:rsidR="00D20BF6">
        <w:t>о</w:t>
      </w:r>
      <w:r w:rsidR="003E2656">
        <w:t xml:space="preserve"> для изучения </w:t>
      </w:r>
      <w:r w:rsidR="00392C8F">
        <w:t>после</w:t>
      </w:r>
      <w:r w:rsidR="003E2656">
        <w:t>дующих дисц</w:t>
      </w:r>
      <w:r w:rsidR="003E2656">
        <w:t>и</w:t>
      </w:r>
      <w:r w:rsidR="003E2656">
        <w:t xml:space="preserve">плин: </w:t>
      </w:r>
      <w:r w:rsidR="00C34F0B">
        <w:rPr>
          <w:rFonts w:eastAsia="MS Mincho"/>
          <w:lang w:eastAsia="ja-JP"/>
        </w:rPr>
        <w:t>Физические методы изучения полезных ископаемых, Проектная деятельность, Горнопромышленная экология, Исследование руд на обогатимость,</w:t>
      </w:r>
      <w:r>
        <w:rPr>
          <w:rStyle w:val="FontStyle16"/>
          <w:b w:val="0"/>
          <w:sz w:val="24"/>
          <w:szCs w:val="24"/>
        </w:rPr>
        <w:t xml:space="preserve">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</w:t>
      </w:r>
      <w:r w:rsidR="00C34F0B">
        <w:rPr>
          <w:rFonts w:eastAsia="MS Mincho"/>
          <w:lang w:eastAsia="ja-JP"/>
        </w:rPr>
        <w:t>ая</w:t>
      </w:r>
      <w:r w:rsidR="009726AF" w:rsidRPr="000B374F">
        <w:rPr>
          <w:rFonts w:eastAsia="MS Mincho"/>
          <w:lang w:eastAsia="ja-JP"/>
        </w:rPr>
        <w:t xml:space="preserve"> прак</w:t>
      </w:r>
      <w:r w:rsidR="00B22348">
        <w:rPr>
          <w:rFonts w:eastAsia="MS Mincho"/>
          <w:lang w:eastAsia="ja-JP"/>
        </w:rPr>
        <w:t>тик</w:t>
      </w:r>
      <w:r w:rsidR="00C34F0B">
        <w:rPr>
          <w:rFonts w:eastAsia="MS Mincho"/>
          <w:lang w:eastAsia="ja-JP"/>
        </w:rPr>
        <w:t>а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 xml:space="preserve">тические типы месторождений твердых полезных ископаемых при решении задач </w:t>
            </w:r>
            <w:r w:rsidRPr="00455092">
              <w:rPr>
                <w:b/>
              </w:rPr>
              <w:lastRenderedPageBreak/>
              <w:t>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</w:t>
            </w:r>
            <w:r>
              <w:t>ш</w:t>
            </w:r>
            <w:r>
              <w:t>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</w:t>
            </w:r>
            <w:r>
              <w:t>с</w:t>
            </w:r>
            <w:r>
              <w:t>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>Решать задачи по определению ценности руд,  решать задачи по раци</w:t>
            </w:r>
            <w:r w:rsidRPr="00D04AF8">
              <w:t>о</w:t>
            </w:r>
            <w:r w:rsidRPr="00D04AF8">
              <w:t>нальному и комплексному освоению георесурсного потенциала недр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87F0B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ископаемых, горных отводов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7F0B" w:rsidRPr="00964DAF" w:rsidRDefault="00687F0B" w:rsidP="00687F0B">
            <w:pPr>
              <w:ind w:firstLine="0"/>
            </w:pPr>
            <w:r>
              <w:t>Способов оконтуривания и подсчета запасов полезных ископаемых.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бами.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ископаемых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781DC8">
        <w:rPr>
          <w:rStyle w:val="FontStyle18"/>
          <w:b w:val="0"/>
          <w:sz w:val="24"/>
          <w:szCs w:val="24"/>
        </w:rPr>
        <w:t xml:space="preserve">1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7D1FBC">
        <w:rPr>
          <w:rStyle w:val="FontStyle18"/>
          <w:b w:val="0"/>
          <w:sz w:val="24"/>
          <w:szCs w:val="24"/>
        </w:rPr>
        <w:t>4,7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</w:r>
      <w:proofErr w:type="gramStart"/>
      <w:r w:rsidRPr="00581A4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D1FBC">
        <w:rPr>
          <w:rStyle w:val="FontStyle18"/>
          <w:b w:val="0"/>
          <w:sz w:val="24"/>
          <w:szCs w:val="24"/>
        </w:rPr>
        <w:t>4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</w:r>
      <w:proofErr w:type="gramStart"/>
      <w:r w:rsidRPr="00581A4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0,</w:t>
      </w:r>
      <w:r w:rsidR="007D1FBC">
        <w:rPr>
          <w:rStyle w:val="FontStyle18"/>
          <w:b w:val="0"/>
          <w:sz w:val="24"/>
          <w:szCs w:val="24"/>
        </w:rPr>
        <w:t>7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2</w:t>
      </w:r>
      <w:r w:rsidR="007D1FBC">
        <w:rPr>
          <w:rStyle w:val="FontStyle18"/>
          <w:b w:val="0"/>
          <w:sz w:val="24"/>
          <w:szCs w:val="24"/>
        </w:rPr>
        <w:t>7</w:t>
      </w:r>
      <w:r w:rsidR="00C34F0B">
        <w:rPr>
          <w:rStyle w:val="FontStyle18"/>
          <w:b w:val="0"/>
          <w:sz w:val="24"/>
          <w:szCs w:val="24"/>
        </w:rPr>
        <w:t>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00FFF" w:rsidRPr="00581A43" w:rsidRDefault="00F00FFF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                                              3,9  акад. часов.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F00FFF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>Этапы и стадии разведки месторождений полезных и</w:t>
            </w:r>
            <w:r w:rsidRPr="00D04AF8">
              <w:t>с</w:t>
            </w:r>
            <w:r w:rsidRPr="00D04AF8">
              <w:t xml:space="preserve">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E63F72" w:rsidRDefault="007D1FBC" w:rsidP="00810C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7D1FBC">
              <w:t>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 xml:space="preserve">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Выполнение зад</w:t>
            </w:r>
            <w:r>
              <w:t>а</w:t>
            </w:r>
            <w:r>
              <w:t>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геолого-маркшейдерских служб, структура з</w:t>
            </w:r>
            <w:r w:rsidRPr="00D04AF8">
              <w:t>а</w:t>
            </w:r>
            <w:r w:rsidRPr="00D04AF8">
              <w:t>пасов горных предприятий</w:t>
            </w:r>
          </w:p>
        </w:tc>
        <w:tc>
          <w:tcPr>
            <w:tcW w:w="188" w:type="pct"/>
          </w:tcPr>
          <w:p w:rsidR="00D25CA6" w:rsidRPr="00E63F72" w:rsidRDefault="007D1FBC" w:rsidP="00810C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энциклопед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</w:t>
            </w:r>
            <w:r w:rsidRPr="00D04AF8">
              <w:t>о</w:t>
            </w:r>
            <w:r w:rsidRPr="00D04AF8">
              <w:t>сти и сложности геологического стр</w:t>
            </w:r>
            <w:r w:rsidRPr="00D04AF8">
              <w:t>о</w:t>
            </w:r>
            <w:r w:rsidRPr="00D04AF8">
              <w:lastRenderedPageBreak/>
              <w:t>ения</w:t>
            </w:r>
          </w:p>
        </w:tc>
        <w:tc>
          <w:tcPr>
            <w:tcW w:w="188" w:type="pct"/>
            <w:vAlign w:val="center"/>
          </w:tcPr>
          <w:p w:rsidR="00D25CA6" w:rsidRPr="00E63F72" w:rsidRDefault="007D1FBC" w:rsidP="00810CAF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энциклопед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7D1F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ской работы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7D1F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</w:t>
            </w:r>
            <w:r w:rsidRPr="00D04AF8">
              <w:t>и</w:t>
            </w:r>
            <w:r w:rsidRPr="00D04AF8">
              <w:t>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7D1FBC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>Геологическое обеспечение</w:t>
            </w:r>
            <w:proofErr w:type="gramStart"/>
            <w:r w:rsidRPr="00D04AF8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7D1FBC" w:rsidP="00E67A3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1" w:type="pct"/>
            <w:vAlign w:val="center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Защита практич</w:t>
            </w:r>
            <w:r>
              <w:t>е</w:t>
            </w:r>
            <w:r>
              <w:t>ских работ.</w:t>
            </w:r>
          </w:p>
        </w:tc>
        <w:tc>
          <w:tcPr>
            <w:tcW w:w="435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</w:t>
            </w:r>
            <w:r w:rsidRPr="00D04AF8">
              <w:t>о</w:t>
            </w:r>
            <w:r w:rsidRPr="00D04AF8">
              <w:t>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E63F72" w:rsidRDefault="007D1FBC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  <w:vAlign w:val="center"/>
          </w:tcPr>
          <w:p w:rsidR="00DD4CDA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7D1FBC">
              <w:t>4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1.9. </w:t>
            </w:r>
            <w:r w:rsidRPr="00D04AF8">
              <w:t>Комплексная оценка ценн</w:t>
            </w:r>
            <w:r w:rsidRPr="00D04AF8">
              <w:t>о</w:t>
            </w:r>
            <w:r w:rsidRPr="00D04AF8">
              <w:t>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7D1FBC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  <w:vAlign w:val="center"/>
          </w:tcPr>
          <w:p w:rsidR="00DD4CDA" w:rsidRPr="007D1FBC" w:rsidRDefault="00F00FFF" w:rsidP="00D25CA6">
            <w:pPr>
              <w:pStyle w:val="Style14"/>
              <w:widowControl/>
              <w:snapToGrid w:val="0"/>
              <w:ind w:firstLine="0"/>
              <w:jc w:val="center"/>
              <w:rPr>
                <w:lang w:val="en-AU"/>
              </w:rPr>
            </w:pPr>
            <w:r>
              <w:t>0,</w:t>
            </w:r>
            <w:r w:rsidR="007D1FBC">
              <w:t>4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  <w:r w:rsidR="00C34F0B">
              <w:t>,4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C34F0B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</w:p>
        </w:tc>
        <w:tc>
          <w:tcPr>
            <w:tcW w:w="188" w:type="pct"/>
            <w:vAlign w:val="center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7D1FBC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F00FF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D1FBC">
              <w:rPr>
                <w:b/>
                <w:i/>
              </w:rPr>
              <w:t>7</w:t>
            </w:r>
            <w:r w:rsidR="00C34F0B">
              <w:rPr>
                <w:b/>
                <w:i/>
              </w:rPr>
              <w:t>,4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</w:t>
            </w:r>
            <w:r w:rsidRPr="00B71589">
              <w:rPr>
                <w:i/>
              </w:rPr>
              <w:t>р</w:t>
            </w:r>
            <w:r w:rsidRPr="00B71589">
              <w:rPr>
                <w:i/>
              </w:rPr>
              <w:t>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</w:t>
            </w:r>
            <w:r w:rsidRPr="00B71589">
              <w:rPr>
                <w:i/>
              </w:rPr>
              <w:t>о</w:t>
            </w:r>
            <w:r w:rsidRPr="00B71589">
              <w:rPr>
                <w:i/>
              </w:rPr>
              <w:t>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» 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н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</w:t>
      </w:r>
      <w:r>
        <w:rPr>
          <w:rStyle w:val="FontStyle20"/>
          <w:rFonts w:ascii="Times New Roman" w:hAnsi="Times New Roman" w:cs="Times New Roman"/>
          <w:sz w:val="24"/>
          <w:szCs w:val="24"/>
        </w:rPr>
        <w:t>к</w:t>
      </w:r>
      <w:r>
        <w:rPr>
          <w:rStyle w:val="FontStyle20"/>
          <w:rFonts w:ascii="Times New Roman" w:hAnsi="Times New Roman" w:cs="Times New Roman"/>
          <w:sz w:val="24"/>
          <w:szCs w:val="24"/>
        </w:rPr>
        <w:t>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  <w:proofErr w:type="gramEnd"/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 xml:space="preserve">ские комментарии, связанные с различными моделями интерпретации </w:t>
      </w:r>
      <w:proofErr w:type="gramStart"/>
      <w:r w:rsidRPr="00D00F1D">
        <w:t>изучаемого</w:t>
      </w:r>
      <w:proofErr w:type="gramEnd"/>
      <w:r w:rsidRPr="00D00F1D">
        <w:t xml:space="preserve">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proofErr w:type="gramStart"/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 xml:space="preserve">ся в сути проблем, предложить возможные решения и выбрать лучшее из них. Кейсы </w:t>
      </w:r>
      <w:proofErr w:type="gramStart"/>
      <w:r w:rsidRPr="00D00F1D">
        <w:t>базируются на реальном фактическом материале или же приближены</w:t>
      </w:r>
      <w:proofErr w:type="gramEnd"/>
      <w:r w:rsidRPr="00D00F1D">
        <w:t xml:space="preserve"> к реальной сит</w:t>
      </w:r>
      <w:r w:rsidRPr="00D00F1D">
        <w:t>у</w:t>
      </w:r>
      <w:r w:rsidRPr="00D00F1D">
        <w:t>ации.</w:t>
      </w:r>
    </w:p>
    <w:p w:rsidR="00327876" w:rsidRPr="00D00F1D" w:rsidRDefault="00327876" w:rsidP="00327876">
      <w:r w:rsidRPr="00D00F1D">
        <w:t xml:space="preserve">3. </w:t>
      </w:r>
      <w:proofErr w:type="gramStart"/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  <w:proofErr w:type="gramEnd"/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 xml:space="preserve">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proofErr w:type="gramStart"/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 xml:space="preserve">вается в большинстве современных образовательных технологий. Интерактивность подразумевает </w:t>
      </w:r>
      <w:proofErr w:type="gramStart"/>
      <w:r w:rsidRPr="00D00F1D">
        <w:t>субъект-субъектные</w:t>
      </w:r>
      <w:proofErr w:type="gramEnd"/>
      <w:r w:rsidRPr="00D00F1D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 xml:space="preserve">низация </w:t>
      </w:r>
      <w:proofErr w:type="gramStart"/>
      <w:r w:rsidRPr="00D00F1D">
        <w:t>образовательного</w:t>
      </w:r>
      <w:proofErr w:type="gramEnd"/>
      <w:r w:rsidRPr="00D00F1D">
        <w:t xml:space="preserve">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proofErr w:type="gramStart"/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граммных сред.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87F0B" w:rsidRPr="009E709A" w:rsidRDefault="00687F0B" w:rsidP="00687F0B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687F0B" w:rsidRDefault="00687F0B" w:rsidP="00687F0B">
      <w:pPr>
        <w:spacing w:line="276" w:lineRule="auto"/>
        <w:jc w:val="left"/>
      </w:pPr>
    </w:p>
    <w:p w:rsidR="00687F0B" w:rsidRPr="00B7471F" w:rsidRDefault="00687F0B" w:rsidP="00687F0B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 w:rsidR="00F00FFF"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 xml:space="preserve">Классификация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плотность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994586" w:rsidRDefault="00994586" w:rsidP="00455FFD">
      <w:pPr>
        <w:rPr>
          <w:rStyle w:val="FontStyle31"/>
          <w:rFonts w:ascii="Times New Roman" w:hAnsi="Times New Roman"/>
          <w:sz w:val="24"/>
          <w:szCs w:val="24"/>
        </w:rPr>
        <w:sectPr w:rsidR="00994586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7167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915C2D" w:rsidRDefault="005573AA" w:rsidP="00772E51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</w:t>
            </w:r>
            <w:r w:rsidRPr="00915C2D">
              <w:rPr>
                <w:b/>
              </w:rPr>
              <w:t>о</w:t>
            </w:r>
            <w:r w:rsidRPr="00915C2D">
              <w:rPr>
                <w:b/>
              </w:rPr>
              <w:t>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</w:t>
            </w:r>
            <w:r w:rsidRPr="00915C2D">
              <w:rPr>
                <w:color w:val="000000"/>
              </w:rPr>
              <w:t>ш</w:t>
            </w:r>
            <w:r w:rsidRPr="00915C2D">
              <w:rPr>
                <w:color w:val="000000"/>
              </w:rPr>
              <w:t>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Default="00915C2D" w:rsidP="00772E51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60BA9">
              <w:rPr>
                <w:bCs/>
                <w:szCs w:val="24"/>
                <w:lang w:val="ru-RU"/>
              </w:rPr>
              <w:t>Цели и задачи горнопромышленной  геологии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Промышленная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генетическая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классификации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Этапы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стадии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геологоразведочных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работ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Предварительная</w:t>
            </w:r>
            <w:proofErr w:type="spellEnd"/>
            <w:r w:rsidRPr="00B60BA9">
              <w:rPr>
                <w:bCs/>
                <w:szCs w:val="24"/>
                <w:lang w:val="ru-RU"/>
              </w:rPr>
              <w:t xml:space="preserve"> </w:t>
            </w:r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разведка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месторождения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Прогнозные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ресурсы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их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использование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Детальная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разведка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Эксплуатационная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разведка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B60BA9">
              <w:rPr>
                <w:bCs/>
                <w:szCs w:val="24"/>
              </w:rPr>
              <w:t xml:space="preserve">Классификация </w:t>
            </w:r>
            <w:proofErr w:type="spellStart"/>
            <w:r w:rsidRPr="00B60BA9">
              <w:rPr>
                <w:bCs/>
                <w:szCs w:val="24"/>
              </w:rPr>
              <w:t>запасов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по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степени</w:t>
            </w:r>
            <w:proofErr w:type="spellEnd"/>
            <w:r w:rsidRPr="00B60BA9">
              <w:rPr>
                <w:bCs/>
                <w:szCs w:val="24"/>
              </w:rPr>
              <w:t xml:space="preserve"> </w:t>
            </w:r>
            <w:proofErr w:type="spellStart"/>
            <w:r w:rsidRPr="00B60BA9">
              <w:rPr>
                <w:bCs/>
                <w:szCs w:val="24"/>
              </w:rPr>
              <w:t>изученности</w:t>
            </w:r>
            <w:proofErr w:type="spellEnd"/>
          </w:p>
          <w:p w:rsidR="00915C2D" w:rsidRPr="001850D6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B60BA9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</w:t>
            </w:r>
            <w:r w:rsidRPr="00B60BA9">
              <w:rPr>
                <w:bCs/>
                <w:iCs/>
                <w:spacing w:val="-2"/>
                <w:szCs w:val="24"/>
                <w:lang w:val="ru-RU"/>
              </w:rPr>
              <w:t>е</w:t>
            </w:r>
            <w:r w:rsidRPr="00B60BA9">
              <w:rPr>
                <w:bCs/>
                <w:iCs/>
                <w:spacing w:val="-2"/>
                <w:szCs w:val="24"/>
                <w:lang w:val="ru-RU"/>
              </w:rPr>
              <w:t>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промышленной и генетич</w:t>
            </w:r>
            <w:r w:rsidRPr="00915C2D">
              <w:t>е</w:t>
            </w:r>
            <w:r w:rsidRPr="00915C2D">
              <w:t>ской классификациям</w:t>
            </w:r>
          </w:p>
        </w:tc>
        <w:tc>
          <w:tcPr>
            <w:tcW w:w="7167" w:type="dxa"/>
          </w:tcPr>
          <w:p w:rsidR="00915C2D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</w:t>
            </w:r>
            <w:r w:rsidR="00A03C22">
              <w:rPr>
                <w:sz w:val="24"/>
                <w:szCs w:val="24"/>
              </w:rPr>
              <w:t>чета запасов методом разрезов</w:t>
            </w:r>
            <w:r w:rsidR="00A03C22">
              <w:rPr>
                <w:sz w:val="24"/>
                <w:szCs w:val="24"/>
              </w:rPr>
              <w:tab/>
            </w:r>
            <w:r w:rsidR="00A03C22">
              <w:rPr>
                <w:sz w:val="24"/>
                <w:szCs w:val="24"/>
              </w:rPr>
              <w:tab/>
            </w:r>
          </w:p>
          <w:p w:rsidR="001850D6" w:rsidRPr="00915C2D" w:rsidRDefault="001850D6" w:rsidP="00C13C36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687F0B" w:rsidRPr="00772E51" w:rsidTr="0020393B">
        <w:tc>
          <w:tcPr>
            <w:tcW w:w="2660" w:type="dxa"/>
          </w:tcPr>
          <w:p w:rsidR="00687F0B" w:rsidRPr="00915C2D" w:rsidRDefault="00687F0B" w:rsidP="00CE2593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jc w:val="left"/>
            </w:pPr>
            <w:r w:rsidRPr="00915C2D">
              <w:t>Знаниями о химическом, и минеральном с</w:t>
            </w:r>
            <w:r w:rsidRPr="00915C2D">
              <w:t>о</w:t>
            </w:r>
            <w:r w:rsidRPr="00915C2D">
              <w:t>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687F0B" w:rsidRDefault="00687F0B" w:rsidP="00687F0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687F0B" w:rsidRPr="00B1313B" w:rsidRDefault="00687F0B" w:rsidP="00687F0B">
            <w:pPr>
              <w:ind w:firstLine="0"/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687F0B" w:rsidRPr="00772E51" w:rsidTr="00647430">
        <w:tc>
          <w:tcPr>
            <w:tcW w:w="14788" w:type="dxa"/>
            <w:gridSpan w:val="3"/>
          </w:tcPr>
          <w:p w:rsidR="00687F0B" w:rsidRPr="00915C2D" w:rsidRDefault="00687F0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</w:t>
            </w:r>
            <w:r w:rsidRPr="00915C2D">
              <w:rPr>
                <w:b/>
              </w:rPr>
              <w:t>з</w:t>
            </w:r>
            <w:r w:rsidRPr="00915C2D">
              <w:rPr>
                <w:b/>
              </w:rPr>
              <w:t>ных ископаемых и горных отводов</w:t>
            </w:r>
          </w:p>
        </w:tc>
      </w:tr>
      <w:tr w:rsidR="00687F0B" w:rsidRPr="00772E51" w:rsidTr="0020393B">
        <w:trPr>
          <w:trHeight w:val="700"/>
        </w:trPr>
        <w:tc>
          <w:tcPr>
            <w:tcW w:w="2660" w:type="dxa"/>
          </w:tcPr>
          <w:p w:rsidR="00687F0B" w:rsidRPr="00915C2D" w:rsidRDefault="00687F0B" w:rsidP="00915C2D">
            <w:pPr>
              <w:ind w:firstLine="0"/>
              <w:jc w:val="left"/>
              <w:rPr>
                <w:b/>
              </w:rPr>
            </w:pPr>
            <w:r w:rsidRPr="00915C2D">
              <w:t>Знать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</w:pPr>
            <w:r w:rsidRPr="00915C2D">
              <w:t>Химический и минеральный состав земной коры, морфологические особенности, пр</w:t>
            </w:r>
            <w:r w:rsidRPr="00915C2D">
              <w:t>о</w:t>
            </w:r>
            <w:r w:rsidRPr="00915C2D">
              <w:t>мышленные и генетические типы месторо</w:t>
            </w:r>
            <w:r w:rsidRPr="00915C2D">
              <w:t>ж</w:t>
            </w:r>
            <w:r w:rsidRPr="00915C2D">
              <w:lastRenderedPageBreak/>
              <w:t>дений</w:t>
            </w:r>
          </w:p>
        </w:tc>
        <w:tc>
          <w:tcPr>
            <w:tcW w:w="7167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A03C22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A03C22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lastRenderedPageBreak/>
              <w:t>Минимальное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промышленное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содержание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компонентов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Бортовое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содержание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компонентов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мощность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тел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полезных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ископаемых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метро-процент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коэффициент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рудоносности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687F0B" w:rsidRPr="001850D6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запасы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полезного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Решать задачи по определению ценности руд,  решать задачи по рациональному и ко</w:t>
            </w:r>
            <w:r w:rsidRPr="00915C2D">
              <w:t>м</w:t>
            </w:r>
            <w:r w:rsidRPr="00915C2D">
              <w:t>плексному освоению георесурсного потенц</w:t>
            </w:r>
            <w:r w:rsidRPr="00915C2D">
              <w:t>и</w:t>
            </w:r>
            <w:r w:rsidRPr="00915C2D">
              <w:t>ала недр</w:t>
            </w:r>
          </w:p>
        </w:tc>
        <w:tc>
          <w:tcPr>
            <w:tcW w:w="7167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687F0B" w:rsidRPr="0037538A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4559BB">
              <w:rPr>
                <w:sz w:val="24"/>
                <w:szCs w:val="24"/>
              </w:rPr>
              <w:t>дизъюнктивов</w:t>
            </w:r>
            <w:proofErr w:type="spellEnd"/>
            <w:r w:rsidRPr="004559BB">
              <w:rPr>
                <w:sz w:val="24"/>
                <w:szCs w:val="24"/>
              </w:rPr>
              <w:t xml:space="preserve">. Эпюры </w:t>
            </w:r>
            <w:proofErr w:type="spellStart"/>
            <w:r w:rsidRPr="004559BB">
              <w:rPr>
                <w:sz w:val="24"/>
                <w:szCs w:val="24"/>
              </w:rPr>
              <w:t>дизъюнктива</w:t>
            </w:r>
            <w:proofErr w:type="spellEnd"/>
            <w:r w:rsidRPr="004559BB">
              <w:rPr>
                <w:sz w:val="24"/>
                <w:szCs w:val="24"/>
              </w:rPr>
              <w:t>. Пои</w:t>
            </w:r>
            <w:r w:rsidRPr="004559BB">
              <w:rPr>
                <w:sz w:val="24"/>
                <w:szCs w:val="24"/>
              </w:rPr>
              <w:t>с</w:t>
            </w:r>
            <w:r w:rsidRPr="004559BB">
              <w:rPr>
                <w:sz w:val="24"/>
                <w:szCs w:val="24"/>
              </w:rPr>
              <w:t>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Доразведка</w:t>
            </w:r>
            <w:proofErr w:type="spellEnd"/>
            <w:r>
              <w:rPr>
                <w:sz w:val="24"/>
                <w:szCs w:val="24"/>
              </w:rPr>
              <w:t xml:space="preserve">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772E51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проведения эк</w:t>
            </w:r>
            <w:r w:rsidRPr="00915C2D">
              <w:t>с</w:t>
            </w:r>
            <w:r w:rsidRPr="00915C2D">
              <w:t>плуатационной разведки</w:t>
            </w:r>
          </w:p>
        </w:tc>
        <w:tc>
          <w:tcPr>
            <w:tcW w:w="7167" w:type="dxa"/>
          </w:tcPr>
          <w:p w:rsidR="00687F0B" w:rsidRPr="00B1313B" w:rsidRDefault="00687F0B" w:rsidP="00687F0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687F0B" w:rsidRPr="00772E51" w:rsidTr="00647430">
        <w:tc>
          <w:tcPr>
            <w:tcW w:w="14788" w:type="dxa"/>
            <w:gridSpan w:val="3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687F0B" w:rsidRPr="00772E51" w:rsidTr="0020393B">
        <w:tc>
          <w:tcPr>
            <w:tcW w:w="2660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687F0B" w:rsidRPr="004A2E1C" w:rsidRDefault="00687F0B" w:rsidP="00687F0B">
            <w:pPr>
              <w:ind w:firstLine="0"/>
            </w:pPr>
            <w:r w:rsidRPr="004A2E1C">
              <w:t>Способов оконтуривания и подсчета запасов полезных ископаемых.</w:t>
            </w:r>
          </w:p>
        </w:tc>
        <w:tc>
          <w:tcPr>
            <w:tcW w:w="7167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 xml:space="preserve">Степень </w:t>
            </w:r>
            <w:proofErr w:type="spellStart"/>
            <w:r w:rsidRPr="00A03C22">
              <w:rPr>
                <w:bCs/>
                <w:szCs w:val="24"/>
                <w:lang w:val="ru-RU"/>
              </w:rPr>
              <w:t>разведанности</w:t>
            </w:r>
            <w:proofErr w:type="spellEnd"/>
            <w:r w:rsidRPr="00A03C22">
              <w:rPr>
                <w:bCs/>
                <w:szCs w:val="24"/>
                <w:lang w:val="ru-RU"/>
              </w:rPr>
              <w:t xml:space="preserve"> месторождений, передава</w:t>
            </w:r>
            <w:r w:rsidRPr="00A03C22">
              <w:rPr>
                <w:bCs/>
                <w:szCs w:val="24"/>
                <w:lang w:val="ru-RU"/>
              </w:rPr>
              <w:t>е</w:t>
            </w:r>
            <w:r w:rsidRPr="00A03C22">
              <w:rPr>
                <w:bCs/>
                <w:szCs w:val="24"/>
                <w:lang w:val="ru-RU"/>
              </w:rPr>
              <w:t>мых</w:t>
            </w:r>
            <w:r w:rsidRPr="00A03C22">
              <w:rPr>
                <w:szCs w:val="24"/>
                <w:lang w:val="ru-RU"/>
              </w:rPr>
              <w:t xml:space="preserve"> в эксплуатацию, %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Плотность разведочной сети в ходе предварител</w:t>
            </w:r>
            <w:r w:rsidRPr="00A03C22">
              <w:rPr>
                <w:bCs/>
                <w:szCs w:val="24"/>
                <w:lang w:val="ru-RU"/>
              </w:rPr>
              <w:t>ь</w:t>
            </w:r>
            <w:r w:rsidRPr="00A03C22">
              <w:rPr>
                <w:bCs/>
                <w:szCs w:val="24"/>
                <w:lang w:val="ru-RU"/>
              </w:rPr>
              <w:t>ной и детальной разведке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Методы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подсчета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запасов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Геологическая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документация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r w:rsidRPr="00A03C22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горных</w:t>
            </w:r>
            <w:proofErr w:type="spellEnd"/>
            <w:r w:rsidRPr="00A03C22">
              <w:rPr>
                <w:bCs/>
                <w:szCs w:val="24"/>
                <w:lang w:val="ru-RU"/>
              </w:rPr>
              <w:t xml:space="preserve"> </w:t>
            </w:r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выработок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lastRenderedPageBreak/>
              <w:t>Камеральная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обработка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полевой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документации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Отбор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подготовка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проб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Достоверность и минимальные объемы  точечной пробы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Представительность</w:t>
            </w:r>
            <w:proofErr w:type="spellEnd"/>
            <w:r w:rsidRPr="00A03C22">
              <w:rPr>
                <w:bCs/>
                <w:szCs w:val="24"/>
              </w:rPr>
              <w:t xml:space="preserve"> и плотность </w:t>
            </w:r>
            <w:proofErr w:type="spellStart"/>
            <w:r w:rsidRPr="00A03C22">
              <w:rPr>
                <w:bCs/>
                <w:szCs w:val="24"/>
              </w:rPr>
              <w:t>сети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опробования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Косвенные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методы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опробования</w:t>
            </w:r>
            <w:proofErr w:type="spellEnd"/>
          </w:p>
          <w:p w:rsidR="00687F0B" w:rsidRPr="00F00FFF" w:rsidRDefault="00687F0B" w:rsidP="00F00FFF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Геолого-технологическое</w:t>
            </w:r>
            <w:proofErr w:type="spellEnd"/>
            <w:r w:rsidRPr="00A03C22">
              <w:rPr>
                <w:bCs/>
                <w:szCs w:val="24"/>
              </w:rPr>
              <w:t xml:space="preserve"> </w:t>
            </w:r>
            <w:proofErr w:type="spellStart"/>
            <w:r w:rsidRPr="00A03C22">
              <w:rPr>
                <w:bCs/>
                <w:szCs w:val="24"/>
              </w:rPr>
              <w:t>картирование</w:t>
            </w:r>
            <w:proofErr w:type="spellEnd"/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4A2E1C" w:rsidRDefault="00687F0B" w:rsidP="00687F0B">
            <w:pPr>
              <w:ind w:firstLine="0"/>
              <w:jc w:val="left"/>
            </w:pPr>
            <w:r w:rsidRPr="004A2E1C">
              <w:rPr>
                <w:lang w:eastAsia="en-US"/>
              </w:rPr>
              <w:t>Определять количество запасов полезного ископаемого разными способами.</w:t>
            </w:r>
          </w:p>
        </w:tc>
        <w:tc>
          <w:tcPr>
            <w:tcW w:w="7167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A03C22">
              <w:rPr>
                <w:sz w:val="24"/>
                <w:szCs w:val="24"/>
              </w:rPr>
              <w:t>дизъюнктивов</w:t>
            </w:r>
            <w:proofErr w:type="spellEnd"/>
            <w:r w:rsidRPr="00A03C22">
              <w:rPr>
                <w:sz w:val="24"/>
                <w:szCs w:val="24"/>
              </w:rPr>
              <w:t xml:space="preserve">. Эпюры </w:t>
            </w:r>
            <w:proofErr w:type="spellStart"/>
            <w:r w:rsidRPr="00A03C22">
              <w:rPr>
                <w:sz w:val="24"/>
                <w:szCs w:val="24"/>
              </w:rPr>
              <w:t>дизъюнктива</w:t>
            </w:r>
            <w:proofErr w:type="spellEnd"/>
            <w:r w:rsidRPr="00A03C22">
              <w:rPr>
                <w:sz w:val="24"/>
                <w:szCs w:val="24"/>
              </w:rPr>
              <w:t>. Пои</w:t>
            </w:r>
            <w:r w:rsidRPr="00A03C22">
              <w:rPr>
                <w:sz w:val="24"/>
                <w:szCs w:val="24"/>
              </w:rPr>
              <w:t>с</w:t>
            </w:r>
            <w:r w:rsidRPr="00A03C22">
              <w:rPr>
                <w:sz w:val="24"/>
                <w:szCs w:val="24"/>
              </w:rPr>
              <w:t xml:space="preserve">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A03C22">
              <w:rPr>
                <w:sz w:val="24"/>
                <w:szCs w:val="24"/>
              </w:rPr>
              <w:t>Доразведка</w:t>
            </w:r>
            <w:proofErr w:type="spellEnd"/>
            <w:r w:rsidRPr="00A03C22">
              <w:rPr>
                <w:sz w:val="24"/>
                <w:szCs w:val="24"/>
              </w:rPr>
              <w:t xml:space="preserve"> (задача 34) 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C13C36" w:rsidRPr="00772E51" w:rsidTr="00647430">
        <w:tc>
          <w:tcPr>
            <w:tcW w:w="2660" w:type="dxa"/>
          </w:tcPr>
          <w:p w:rsidR="00C13C36" w:rsidRPr="00915C2D" w:rsidRDefault="00C13C36" w:rsidP="00542C7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C13C36" w:rsidRPr="004A2E1C" w:rsidRDefault="00C13C36" w:rsidP="00687F0B">
            <w:pPr>
              <w:ind w:firstLine="0"/>
              <w:jc w:val="left"/>
            </w:pPr>
            <w:r w:rsidRPr="004A2E1C">
              <w:rPr>
                <w:lang w:eastAsia="en-US"/>
              </w:rPr>
              <w:t>Способностью применения  методов геолого-промышленной оценки месторождений п</w:t>
            </w:r>
            <w:r w:rsidRPr="004A2E1C">
              <w:rPr>
                <w:lang w:eastAsia="en-US"/>
              </w:rPr>
              <w:t>о</w:t>
            </w:r>
            <w:r w:rsidRPr="004A2E1C">
              <w:rPr>
                <w:lang w:eastAsia="en-US"/>
              </w:rPr>
              <w:t>лезных ископаемых.</w:t>
            </w:r>
          </w:p>
        </w:tc>
        <w:tc>
          <w:tcPr>
            <w:tcW w:w="7167" w:type="dxa"/>
          </w:tcPr>
          <w:p w:rsidR="00C13C36" w:rsidRPr="00B1313B" w:rsidRDefault="00C13C36" w:rsidP="00D20BF6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C13C36" w:rsidRPr="00B7471F" w:rsidRDefault="00C13C36" w:rsidP="00D20BF6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 w:rsidR="00902FA4">
        <w:rPr>
          <w:sz w:val="24"/>
          <w:szCs w:val="24"/>
        </w:rPr>
        <w:t>Горнопромы</w:t>
      </w:r>
      <w:r w:rsidR="00902FA4">
        <w:rPr>
          <w:sz w:val="24"/>
          <w:szCs w:val="24"/>
        </w:rPr>
        <w:t>ш</w:t>
      </w:r>
      <w:r w:rsidR="00902FA4">
        <w:rPr>
          <w:sz w:val="24"/>
          <w:szCs w:val="24"/>
        </w:rPr>
        <w:t>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CE2593" w:rsidRDefault="00CE2593" w:rsidP="00CE2593">
      <w:r w:rsidRPr="00F36078">
        <w:t>Промежуточная аттестация по дисциплине «</w:t>
      </w:r>
      <w:r w:rsidR="00902FA4">
        <w:t>Горнопромышленная геология</w:t>
      </w:r>
      <w:r w:rsidRPr="00F36078">
        <w:t xml:space="preserve">» включает теоретические вопросы, позволяющие оценить уровень усвоения </w:t>
      </w:r>
      <w:proofErr w:type="gramStart"/>
      <w:r w:rsidRPr="00F36078">
        <w:t>обучающ</w:t>
      </w:r>
      <w:r w:rsidRPr="00F36078">
        <w:t>и</w:t>
      </w:r>
      <w:r w:rsidRPr="00F36078">
        <w:t>мися</w:t>
      </w:r>
      <w:proofErr w:type="gramEnd"/>
      <w:r w:rsidRPr="00F36078">
        <w:t xml:space="preserve"> знаний, и практические задания, выявляющие степень </w:t>
      </w:r>
      <w:proofErr w:type="spellStart"/>
      <w:r w:rsidRPr="00F36078">
        <w:t>сформированности</w:t>
      </w:r>
      <w:proofErr w:type="spellEnd"/>
      <w:r w:rsidRPr="00F36078">
        <w:t xml:space="preserve"> умений и владений, проводится в форме </w:t>
      </w:r>
      <w:r w:rsidR="00A053F7">
        <w:t>зачета</w:t>
      </w:r>
      <w:r w:rsidRPr="00F36078">
        <w:t>.</w:t>
      </w:r>
    </w:p>
    <w:p w:rsidR="00A053F7" w:rsidRPr="00D20925" w:rsidRDefault="00A053F7" w:rsidP="00A053F7">
      <w:r w:rsidRPr="00D20925">
        <w:t>Зачет по данной дисциплине проводится в устн</w:t>
      </w:r>
      <w:r>
        <w:t>ой форме по теоретическим вопр</w:t>
      </w:r>
      <w:r>
        <w:t>о</w:t>
      </w:r>
      <w:r w:rsidRPr="00D20925">
        <w:t xml:space="preserve">сам. </w:t>
      </w:r>
    </w:p>
    <w:p w:rsidR="00A053F7" w:rsidRPr="00D20925" w:rsidRDefault="00A053F7" w:rsidP="00A053F7">
      <w:r w:rsidRPr="00D20925">
        <w:rPr>
          <w:b/>
          <w:bCs/>
        </w:rPr>
        <w:t xml:space="preserve">Показатели и критерии оценивания зачета: </w:t>
      </w:r>
    </w:p>
    <w:p w:rsidR="00A053F7" w:rsidRPr="00D20925" w:rsidRDefault="00A053F7" w:rsidP="00A053F7">
      <w:proofErr w:type="gramStart"/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 xml:space="preserve">обучающийся демонстрирует уровень </w:t>
      </w:r>
      <w:proofErr w:type="spellStart"/>
      <w:r w:rsidRPr="00D20925">
        <w:t>сформированности</w:t>
      </w:r>
      <w:proofErr w:type="spellEnd"/>
      <w:r w:rsidRPr="00D20925">
        <w:t xml:space="preserve">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  <w:proofErr w:type="gramEnd"/>
    </w:p>
    <w:p w:rsidR="00A053F7" w:rsidRPr="00F36078" w:rsidRDefault="00A053F7" w:rsidP="00CE259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 xml:space="preserve">– </w:t>
      </w:r>
      <w:proofErr w:type="gramStart"/>
      <w:r w:rsidRPr="00D20925">
        <w:t>обучающийся</w:t>
      </w:r>
      <w:proofErr w:type="gramEnd"/>
      <w:r w:rsidRPr="00D20925">
        <w:t xml:space="preserve">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</w:t>
      </w:r>
      <w:r>
        <w:t>л</w:t>
      </w:r>
      <w:r>
        <w:t>лекту</w:t>
      </w:r>
      <w:r w:rsidRPr="00D20925">
        <w:t xml:space="preserve">альные навыки выполнения простых заданий. </w:t>
      </w:r>
    </w:p>
    <w:p w:rsidR="00C13C36" w:rsidRPr="000B374F" w:rsidRDefault="00C13C36" w:rsidP="00C13C3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13C36" w:rsidRPr="000B374F" w:rsidRDefault="00C13C36" w:rsidP="00C13C36">
      <w:pPr>
        <w:pStyle w:val="Style10"/>
        <w:widowControl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а) 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  <w:r w:rsidRPr="000B374F">
        <w:rPr>
          <w:rStyle w:val="FontStyle22"/>
          <w:sz w:val="24"/>
          <w:szCs w:val="24"/>
        </w:rPr>
        <w:t xml:space="preserve"> </w:t>
      </w:r>
    </w:p>
    <w:p w:rsidR="00C13C36" w:rsidRPr="0018161B" w:rsidRDefault="00C13C36" w:rsidP="00C13C36">
      <w:pPr>
        <w:widowControl/>
        <w:numPr>
          <w:ilvl w:val="0"/>
          <w:numId w:val="2"/>
        </w:numPr>
        <w:autoSpaceDE/>
        <w:autoSpaceDN/>
        <w:adjustRightInd/>
        <w:ind w:left="0" w:firstLine="720"/>
      </w:pPr>
      <w:proofErr w:type="spellStart"/>
      <w:r w:rsidRPr="0018161B">
        <w:t>Короновский</w:t>
      </w:r>
      <w:proofErr w:type="spellEnd"/>
      <w:r w:rsidRPr="0018161B">
        <w:t xml:space="preserve">, Н. В. Геология для горного дела: Учебное пособие / </w:t>
      </w:r>
      <w:proofErr w:type="spellStart"/>
      <w:r w:rsidRPr="0018161B">
        <w:t>Кор</w:t>
      </w:r>
      <w:r w:rsidRPr="0018161B">
        <w:t>о</w:t>
      </w:r>
      <w:r w:rsidRPr="0018161B">
        <w:t>новский</w:t>
      </w:r>
      <w:proofErr w:type="spellEnd"/>
      <w:r w:rsidRPr="0018161B">
        <w:t xml:space="preserve"> Н.В., Старостин В.И., Авдонин В.В., - 2-е изд. - Москва </w:t>
      </w:r>
      <w:proofErr w:type="gramStart"/>
      <w:r w:rsidRPr="0018161B">
        <w:t>:Н</w:t>
      </w:r>
      <w:proofErr w:type="gramEnd"/>
      <w:r w:rsidRPr="0018161B">
        <w:t>ИЦ ИНФРА-М, 2016. - 576 с.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r w:rsidRPr="0018161B">
        <w:rPr>
          <w:rFonts w:eastAsia="MS Mincho"/>
          <w:lang w:eastAsia="ja-JP"/>
        </w:rPr>
        <w:t xml:space="preserve"> Общая геология: Учебник для вузов. В 2 т./ Под ред. А.К.Соколовского.- М., 2011 г.: Т.1,Т.2.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proofErr w:type="spellStart"/>
      <w:r w:rsidRPr="0018161B">
        <w:rPr>
          <w:rFonts w:eastAsia="MS Mincho"/>
          <w:lang w:eastAsia="ja-JP"/>
        </w:rPr>
        <w:t>Короновский</w:t>
      </w:r>
      <w:proofErr w:type="spellEnd"/>
      <w:r w:rsidRPr="0018161B">
        <w:rPr>
          <w:rFonts w:eastAsia="MS Mincho"/>
          <w:lang w:eastAsia="ja-JP"/>
        </w:rPr>
        <w:t xml:space="preserve"> Н.В. Общая геология.- </w:t>
      </w:r>
      <w:proofErr w:type="spellStart"/>
      <w:r w:rsidRPr="0018161B">
        <w:rPr>
          <w:rFonts w:eastAsia="MS Mincho"/>
          <w:lang w:eastAsia="ja-JP"/>
        </w:rPr>
        <w:t>Учебн</w:t>
      </w:r>
      <w:proofErr w:type="spellEnd"/>
      <w:r w:rsidRPr="0018161B">
        <w:rPr>
          <w:rFonts w:eastAsia="MS Mincho"/>
          <w:lang w:eastAsia="ja-JP"/>
        </w:rPr>
        <w:t xml:space="preserve">. </w:t>
      </w:r>
      <w:proofErr w:type="spellStart"/>
      <w:r w:rsidRPr="0018161B">
        <w:rPr>
          <w:rFonts w:eastAsia="MS Mincho"/>
          <w:lang w:eastAsia="ja-JP"/>
        </w:rPr>
        <w:t>пособ</w:t>
      </w:r>
      <w:proofErr w:type="spellEnd"/>
      <w:r w:rsidRPr="0018161B">
        <w:rPr>
          <w:rFonts w:eastAsia="MS Mincho"/>
          <w:lang w:eastAsia="ja-JP"/>
        </w:rPr>
        <w:t>. для вузов. – М., 2014.</w:t>
      </w:r>
    </w:p>
    <w:p w:rsidR="00C13C36" w:rsidRPr="0006652F" w:rsidRDefault="00C13C36" w:rsidP="00C13C36">
      <w:pPr>
        <w:pStyle w:val="af9"/>
        <w:spacing w:line="240" w:lineRule="auto"/>
        <w:rPr>
          <w:b/>
          <w:bCs/>
          <w:sz w:val="24"/>
          <w:szCs w:val="24"/>
        </w:rPr>
      </w:pPr>
    </w:p>
    <w:p w:rsidR="00C13C36" w:rsidRPr="0049420F" w:rsidRDefault="00C13C36" w:rsidP="00C13C36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C13C36" w:rsidRPr="00F66E77" w:rsidRDefault="00C13C36" w:rsidP="00C13C36">
      <w:pPr>
        <w:pStyle w:val="5"/>
        <w:numPr>
          <w:ilvl w:val="0"/>
          <w:numId w:val="12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</w:t>
      </w:r>
      <w:r w:rsidRPr="00F66E77">
        <w:rPr>
          <w:sz w:val="24"/>
          <w:szCs w:val="24"/>
        </w:rPr>
        <w:t>е</w:t>
      </w:r>
      <w:r w:rsidRPr="00F66E77">
        <w:rPr>
          <w:sz w:val="24"/>
          <w:szCs w:val="24"/>
        </w:rPr>
        <w:t xml:space="preserve">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>. - М.</w:t>
      </w:r>
      <w:proofErr w:type="gramStart"/>
      <w:r w:rsidRPr="00F66E77">
        <w:rPr>
          <w:sz w:val="24"/>
          <w:szCs w:val="24"/>
        </w:rPr>
        <w:t xml:space="preserve"> :</w:t>
      </w:r>
      <w:proofErr w:type="gramEnd"/>
      <w:r w:rsidRPr="00F66E77">
        <w:rPr>
          <w:sz w:val="24"/>
          <w:szCs w:val="24"/>
        </w:rPr>
        <w:t xml:space="preserve">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8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php</w:t>
        </w:r>
        <w:proofErr w:type="spellEnd"/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(2009).</w:t>
      </w:r>
      <w:proofErr w:type="gramStart"/>
      <w:r w:rsidRPr="00F66E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6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//www.magtu.ru// htt://e.lanbook.com/</w:t>
      </w:r>
    </w:p>
    <w:p w:rsidR="00C13C36" w:rsidRPr="0049420F" w:rsidRDefault="00C13C36" w:rsidP="00C13C36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C13C36" w:rsidRPr="0049420F" w:rsidRDefault="00C13C36" w:rsidP="00C13C36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>, Ф.А. Геология. Геология угольных месторождений [Электронный р</w:t>
      </w:r>
      <w:r w:rsidRPr="0049420F">
        <w:t>е</w:t>
      </w:r>
      <w:r w:rsidRPr="0049420F">
        <w:t>сурс]</w:t>
      </w:r>
      <w:proofErr w:type="gramStart"/>
      <w:r w:rsidRPr="0049420F">
        <w:t xml:space="preserve"> :</w:t>
      </w:r>
      <w:proofErr w:type="gramEnd"/>
      <w:r w:rsidRPr="0049420F">
        <w:t xml:space="preserve">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</w:t>
      </w:r>
      <w:proofErr w:type="gramStart"/>
      <w:r w:rsidRPr="0049420F">
        <w:t>д</w:t>
      </w:r>
      <w:proofErr w:type="gramEnd"/>
      <w:r w:rsidRPr="0049420F">
        <w:t>ан. — Москва</w:t>
      </w:r>
      <w:proofErr w:type="gramStart"/>
      <w:r w:rsidRPr="0049420F">
        <w:t xml:space="preserve"> :</w:t>
      </w:r>
      <w:proofErr w:type="gramEnd"/>
      <w:r w:rsidRPr="0049420F">
        <w:t xml:space="preserve"> МИСИС, 2017. — 40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C13C36" w:rsidRPr="0049420F" w:rsidRDefault="00C13C36" w:rsidP="00C13C36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>, В.В. Геологическая оценка месторождений [Электронный ресурс]</w:t>
      </w:r>
      <w:proofErr w:type="gramStart"/>
      <w:r w:rsidRPr="0049420F">
        <w:t xml:space="preserve"> :</w:t>
      </w:r>
      <w:proofErr w:type="gramEnd"/>
      <w:r w:rsidRPr="0049420F">
        <w:t xml:space="preserve">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</w:t>
      </w:r>
      <w:proofErr w:type="gramStart"/>
      <w:r w:rsidRPr="0049420F">
        <w:t>д</w:t>
      </w:r>
      <w:proofErr w:type="gramEnd"/>
      <w:r w:rsidRPr="0049420F">
        <w:t>ан. — Москва</w:t>
      </w:r>
      <w:proofErr w:type="gramStart"/>
      <w:r w:rsidRPr="0049420F">
        <w:t xml:space="preserve"> :</w:t>
      </w:r>
      <w:proofErr w:type="gramEnd"/>
      <w:r w:rsidRPr="0049420F">
        <w:t xml:space="preserve"> М</w:t>
      </w:r>
      <w:r w:rsidRPr="0049420F">
        <w:t>И</w:t>
      </w:r>
      <w:r w:rsidRPr="0049420F">
        <w:t xml:space="preserve">СИС, 2016. — 322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4A2E1C" w:rsidRDefault="004A2E1C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C13C36" w:rsidRPr="00CA2014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C13C36" w:rsidRPr="004A2E1C" w:rsidRDefault="00C13C36" w:rsidP="00C13C36">
      <w:pPr>
        <w:widowControl/>
        <w:rPr>
          <w:sz w:val="16"/>
          <w:szCs w:val="16"/>
        </w:rPr>
      </w:pPr>
    </w:p>
    <w:p w:rsidR="007D1FBC" w:rsidRPr="00CA2014" w:rsidRDefault="007D1FBC" w:rsidP="007D1FBC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7D1FBC" w:rsidRPr="00AD3E67" w:rsidTr="00D20BF6">
        <w:trPr>
          <w:trHeight w:val="285"/>
        </w:trPr>
        <w:tc>
          <w:tcPr>
            <w:tcW w:w="3221" w:type="dxa"/>
          </w:tcPr>
          <w:p w:rsidR="007D1FBC" w:rsidRPr="00AD3E67" w:rsidRDefault="007D1FBC" w:rsidP="00D20BF6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AD3E67">
              <w:t xml:space="preserve">Наименование </w:t>
            </w:r>
            <w:proofErr w:type="gramStart"/>
            <w:r w:rsidRPr="00AD3E67">
              <w:t>ПО</w:t>
            </w:r>
            <w:proofErr w:type="gramEnd"/>
          </w:p>
        </w:tc>
        <w:tc>
          <w:tcPr>
            <w:tcW w:w="3221" w:type="dxa"/>
          </w:tcPr>
          <w:p w:rsidR="007D1FBC" w:rsidRPr="00AD3E67" w:rsidRDefault="007D1FBC" w:rsidP="00D20BF6">
            <w:pPr>
              <w:widowControl/>
              <w:ind w:firstLine="0"/>
              <w:jc w:val="center"/>
              <w:rPr>
                <w:b/>
              </w:rPr>
            </w:pPr>
            <w:r w:rsidRPr="00AD3E67">
              <w:t>№ договора</w:t>
            </w:r>
          </w:p>
        </w:tc>
        <w:tc>
          <w:tcPr>
            <w:tcW w:w="3222" w:type="dxa"/>
          </w:tcPr>
          <w:p w:rsidR="007D1FBC" w:rsidRPr="00AD3E67" w:rsidRDefault="007D1FBC" w:rsidP="00D20BF6">
            <w:pPr>
              <w:widowControl/>
              <w:ind w:firstLine="0"/>
              <w:jc w:val="center"/>
            </w:pPr>
            <w:r w:rsidRPr="00AD3E67">
              <w:t>Срок действия лицензии</w:t>
            </w:r>
          </w:p>
        </w:tc>
      </w:tr>
      <w:tr w:rsidR="007D1FBC" w:rsidRPr="00AD3E67" w:rsidTr="00D20BF6">
        <w:trPr>
          <w:trHeight w:val="285"/>
        </w:trPr>
        <w:tc>
          <w:tcPr>
            <w:tcW w:w="3221" w:type="dxa"/>
          </w:tcPr>
          <w:p w:rsidR="007D1FBC" w:rsidRPr="00AD3E67" w:rsidRDefault="007D1FBC" w:rsidP="00D20BF6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D1FBC" w:rsidRPr="00AD3E67" w:rsidRDefault="007D1FBC" w:rsidP="00D20BF6">
            <w:pPr>
              <w:widowControl/>
              <w:ind w:firstLine="0"/>
            </w:pPr>
            <w:r w:rsidRPr="00AD3E67">
              <w:t>Д-1227 от 08.10.2018</w:t>
            </w:r>
          </w:p>
          <w:p w:rsidR="007D1FBC" w:rsidRPr="00AD3E67" w:rsidRDefault="007D1FBC" w:rsidP="00D20BF6">
            <w:pPr>
              <w:widowControl/>
              <w:ind w:firstLine="0"/>
            </w:pPr>
            <w:r w:rsidRPr="00AD3E67">
              <w:t>Д-757-17 от 27.06.2017</w:t>
            </w:r>
          </w:p>
        </w:tc>
        <w:tc>
          <w:tcPr>
            <w:tcW w:w="3222" w:type="dxa"/>
          </w:tcPr>
          <w:p w:rsidR="007D1FBC" w:rsidRPr="00AD3E67" w:rsidRDefault="007D1FBC" w:rsidP="00D20BF6">
            <w:pPr>
              <w:widowControl/>
              <w:ind w:firstLine="0"/>
            </w:pPr>
            <w:r w:rsidRPr="00AD3E67">
              <w:t>11.10.2021</w:t>
            </w:r>
          </w:p>
          <w:p w:rsidR="007D1FBC" w:rsidRPr="00AD3E67" w:rsidRDefault="007D1FBC" w:rsidP="00D20BF6">
            <w:pPr>
              <w:widowControl/>
              <w:ind w:firstLine="0"/>
            </w:pPr>
            <w:r w:rsidRPr="00AD3E67">
              <w:t>27.07.2018</w:t>
            </w:r>
          </w:p>
        </w:tc>
      </w:tr>
      <w:tr w:rsidR="007D1FBC" w:rsidRPr="00AD3E67" w:rsidTr="00D20BF6">
        <w:trPr>
          <w:trHeight w:val="272"/>
        </w:trPr>
        <w:tc>
          <w:tcPr>
            <w:tcW w:w="3221" w:type="dxa"/>
          </w:tcPr>
          <w:p w:rsidR="007D1FBC" w:rsidRPr="00AD3E67" w:rsidRDefault="007D1FBC" w:rsidP="00D20BF6">
            <w:pPr>
              <w:widowControl/>
              <w:ind w:firstLine="0"/>
            </w:pPr>
            <w:r w:rsidRPr="00AD3E67">
              <w:rPr>
                <w:lang w:val="en-US"/>
              </w:rPr>
              <w:t>MS</w:t>
            </w:r>
            <w:r w:rsidRPr="00AD3E67">
              <w:t xml:space="preserve"> </w:t>
            </w:r>
            <w:r w:rsidRPr="00AD3E6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D1FBC" w:rsidRPr="00AD3E67" w:rsidRDefault="007D1FBC" w:rsidP="00D20BF6">
            <w:pPr>
              <w:widowControl/>
              <w:ind w:firstLine="0"/>
            </w:pPr>
            <w:r w:rsidRPr="00AD3E67">
              <w:t>№ 135 от 17.09.2007</w:t>
            </w:r>
          </w:p>
        </w:tc>
        <w:tc>
          <w:tcPr>
            <w:tcW w:w="3222" w:type="dxa"/>
          </w:tcPr>
          <w:p w:rsidR="007D1FBC" w:rsidRPr="00AD3E67" w:rsidRDefault="007D1FBC" w:rsidP="00D20BF6">
            <w:pPr>
              <w:widowControl/>
              <w:ind w:firstLine="0"/>
              <w:jc w:val="left"/>
            </w:pPr>
            <w:r w:rsidRPr="00AD3E67">
              <w:t>бессрочно</w:t>
            </w:r>
          </w:p>
        </w:tc>
      </w:tr>
      <w:tr w:rsidR="007D1FBC" w:rsidRPr="00AD3E67" w:rsidTr="00D20BF6">
        <w:trPr>
          <w:trHeight w:val="297"/>
        </w:trPr>
        <w:tc>
          <w:tcPr>
            <w:tcW w:w="3221" w:type="dxa"/>
          </w:tcPr>
          <w:p w:rsidR="007D1FBC" w:rsidRPr="00AD3E67" w:rsidRDefault="007D1FBC" w:rsidP="00D20BF6">
            <w:pPr>
              <w:widowControl/>
              <w:ind w:firstLine="0"/>
              <w:rPr>
                <w:lang w:val="en-US"/>
              </w:rPr>
            </w:pPr>
            <w:bookmarkStart w:id="0" w:name="_GoBack"/>
            <w:bookmarkEnd w:id="0"/>
            <w:r w:rsidRPr="00AD3E6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7D1FBC" w:rsidRPr="00AD3E67" w:rsidRDefault="007D1FBC" w:rsidP="00D20BF6">
            <w:pPr>
              <w:widowControl/>
              <w:ind w:firstLine="0"/>
            </w:pPr>
            <w:r w:rsidRPr="00AD3E67">
              <w:t>свободно распространяемое</w:t>
            </w:r>
          </w:p>
        </w:tc>
        <w:tc>
          <w:tcPr>
            <w:tcW w:w="3222" w:type="dxa"/>
          </w:tcPr>
          <w:p w:rsidR="007D1FBC" w:rsidRPr="00AD3E67" w:rsidRDefault="007D1FBC" w:rsidP="00D20BF6">
            <w:pPr>
              <w:widowControl/>
              <w:ind w:firstLine="0"/>
            </w:pPr>
            <w:r w:rsidRPr="00AD3E67">
              <w:t>бессрочно</w:t>
            </w:r>
          </w:p>
        </w:tc>
      </w:tr>
    </w:tbl>
    <w:p w:rsidR="00C13C36" w:rsidRPr="004A2E1C" w:rsidRDefault="00C13C36" w:rsidP="00C13C36">
      <w:pPr>
        <w:widowControl/>
        <w:autoSpaceDE/>
        <w:autoSpaceDN/>
        <w:adjustRightInd/>
        <w:spacing w:line="276" w:lineRule="auto"/>
        <w:rPr>
          <w:rFonts w:eastAsiaTheme="minorEastAsia"/>
          <w:sz w:val="16"/>
          <w:szCs w:val="16"/>
        </w:rPr>
      </w:pPr>
    </w:p>
    <w:p w:rsidR="004A2E1C" w:rsidRPr="00CA2014" w:rsidRDefault="004A2E1C" w:rsidP="004A2E1C">
      <w:pPr>
        <w:jc w:val="left"/>
      </w:pPr>
      <w:r w:rsidRPr="00CA2014">
        <w:t>Интернет-ресурсы:</w:t>
      </w:r>
    </w:p>
    <w:p w:rsidR="004A2E1C" w:rsidRPr="00CA2014" w:rsidRDefault="004A2E1C" w:rsidP="004A2E1C">
      <w:pPr>
        <w:widowControl/>
      </w:pPr>
      <w:r w:rsidRPr="00CA2014"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</w:t>
      </w:r>
      <w:r w:rsidRPr="00CA2014">
        <w:t>о</w:t>
      </w:r>
      <w:r w:rsidRPr="00CA2014">
        <w:t xml:space="preserve">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1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4A2E1C" w:rsidRPr="00CA2014" w:rsidRDefault="004A2E1C" w:rsidP="004A2E1C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4A2E1C" w:rsidRPr="00CA2014" w:rsidRDefault="004A2E1C" w:rsidP="004A2E1C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google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4A2E1C" w:rsidRPr="00CA2014" w:rsidRDefault="004A2E1C" w:rsidP="004A2E1C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4A2E1C" w:rsidRPr="00CA2014" w:rsidRDefault="004A2E1C" w:rsidP="004A2E1C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4A2E1C" w:rsidRPr="00CA2014" w:rsidRDefault="004A2E1C" w:rsidP="00C13C36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C13C36" w:rsidRPr="00CA2014" w:rsidRDefault="00C13C36" w:rsidP="00C13C36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708"/>
      </w:tblGrid>
      <w:tr w:rsidR="00C13C36" w:rsidRPr="0089591C" w:rsidTr="00D20BF6">
        <w:trPr>
          <w:tblHeader/>
        </w:trPr>
        <w:tc>
          <w:tcPr>
            <w:tcW w:w="1928" w:type="pct"/>
            <w:vAlign w:val="center"/>
          </w:tcPr>
          <w:p w:rsidR="00C13C36" w:rsidRPr="0089591C" w:rsidRDefault="00C13C36" w:rsidP="00D20BF6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13C36" w:rsidRPr="0089591C" w:rsidRDefault="00C13C36" w:rsidP="00D20BF6">
            <w:pPr>
              <w:jc w:val="center"/>
            </w:pPr>
            <w:r w:rsidRPr="0089591C">
              <w:t>Оснащение аудитории</w:t>
            </w:r>
          </w:p>
        </w:tc>
      </w:tr>
      <w:tr w:rsidR="00C13C36" w:rsidRPr="0089591C" w:rsidTr="00D20BF6">
        <w:tc>
          <w:tcPr>
            <w:tcW w:w="1928" w:type="pct"/>
          </w:tcPr>
          <w:p w:rsidR="00C13C36" w:rsidRPr="0089591C" w:rsidRDefault="00C13C36" w:rsidP="004A2E1C">
            <w:pPr>
              <w:ind w:firstLine="0"/>
            </w:pPr>
            <w:r w:rsidRPr="0089591C">
              <w:t>Учебные аудитории для пров</w:t>
            </w:r>
            <w:r w:rsidRPr="0089591C">
              <w:t>е</w:t>
            </w:r>
            <w:r w:rsidRPr="0089591C">
              <w:t>дения занятий лекционного типа</w:t>
            </w:r>
          </w:p>
        </w:tc>
        <w:tc>
          <w:tcPr>
            <w:tcW w:w="3072" w:type="pct"/>
          </w:tcPr>
          <w:p w:rsidR="00C13C36" w:rsidRPr="0089591C" w:rsidRDefault="00C13C36" w:rsidP="004A2E1C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C13C36" w:rsidRPr="0089591C" w:rsidTr="00D20BF6">
        <w:tc>
          <w:tcPr>
            <w:tcW w:w="1928" w:type="pct"/>
          </w:tcPr>
          <w:p w:rsidR="00C13C36" w:rsidRPr="0089591C" w:rsidRDefault="00C13C36" w:rsidP="004A2E1C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C13C36" w:rsidRPr="0089591C" w:rsidRDefault="00C13C36" w:rsidP="004A2E1C">
            <w:pPr>
              <w:ind w:firstLine="0"/>
            </w:pPr>
            <w:r w:rsidRPr="0089591C">
              <w:t>Учебные коллекции минералов и горных  пород на стендах.</w:t>
            </w:r>
          </w:p>
          <w:p w:rsidR="00C13C36" w:rsidRPr="0089591C" w:rsidRDefault="00C13C36" w:rsidP="004A2E1C">
            <w:pPr>
              <w:ind w:firstLine="0"/>
            </w:pPr>
            <w:r w:rsidRPr="0089591C">
              <w:t>Коллекции минералов, горных  пород, полезных и</w:t>
            </w:r>
            <w:r w:rsidRPr="0089591C">
              <w:t>с</w:t>
            </w:r>
            <w:r w:rsidRPr="0089591C">
              <w:t>копаемых, флоры и фауны в геологическом  музее  МГТУ.</w:t>
            </w:r>
          </w:p>
          <w:p w:rsidR="00C13C36" w:rsidRPr="0089591C" w:rsidRDefault="00C13C36" w:rsidP="004A2E1C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C13C36" w:rsidRPr="0089591C" w:rsidRDefault="00C13C36" w:rsidP="004A2E1C">
            <w:pPr>
              <w:ind w:firstLine="0"/>
            </w:pPr>
            <w:r w:rsidRPr="0089591C"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C13C36" w:rsidRPr="0089591C" w:rsidRDefault="00C13C36" w:rsidP="004A2E1C">
            <w:pPr>
              <w:ind w:firstLine="0"/>
            </w:pPr>
            <w:r w:rsidRPr="0089591C">
              <w:t>Геологический компас.</w:t>
            </w:r>
          </w:p>
          <w:p w:rsidR="00C13C36" w:rsidRPr="0089591C" w:rsidRDefault="00C13C36" w:rsidP="004A2E1C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C13C36" w:rsidRPr="0089591C" w:rsidTr="00D20BF6">
        <w:tc>
          <w:tcPr>
            <w:tcW w:w="1928" w:type="pct"/>
          </w:tcPr>
          <w:p w:rsidR="00C13C36" w:rsidRPr="0089591C" w:rsidRDefault="00C13C36" w:rsidP="004A2E1C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72" w:type="pct"/>
          </w:tcPr>
          <w:p w:rsidR="00C13C36" w:rsidRPr="0089591C" w:rsidRDefault="00C13C36" w:rsidP="004A2E1C">
            <w:pPr>
              <w:autoSpaceDE/>
              <w:autoSpaceDN/>
              <w:adjustRightInd/>
              <w:spacing w:before="60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C13C36" w:rsidRPr="0089591C" w:rsidRDefault="00C13C36" w:rsidP="004A2E1C">
            <w:pPr>
              <w:autoSpaceDE/>
              <w:autoSpaceDN/>
              <w:adjustRightInd/>
              <w:spacing w:before="60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C13C36" w:rsidRPr="0089591C" w:rsidRDefault="00C13C36" w:rsidP="004A2E1C">
            <w:pPr>
              <w:autoSpaceDE/>
              <w:autoSpaceDN/>
              <w:adjustRightInd/>
              <w:spacing w:before="60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C13C36" w:rsidRPr="0089591C" w:rsidRDefault="00C13C36" w:rsidP="004A2E1C">
            <w:pPr>
              <w:autoSpaceDE/>
              <w:autoSpaceDN/>
              <w:adjustRightInd/>
              <w:spacing w:before="60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C13C36" w:rsidRPr="0089591C" w:rsidRDefault="00C13C36" w:rsidP="004A2E1C">
            <w:pPr>
              <w:autoSpaceDE/>
              <w:autoSpaceDN/>
              <w:adjustRightInd/>
              <w:spacing w:before="60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C13C36" w:rsidRPr="0089591C" w:rsidTr="00D20BF6">
        <w:tc>
          <w:tcPr>
            <w:tcW w:w="1928" w:type="pct"/>
          </w:tcPr>
          <w:p w:rsidR="00C13C36" w:rsidRPr="0089591C" w:rsidRDefault="00C13C36" w:rsidP="004A2E1C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13C36" w:rsidRPr="0089591C" w:rsidRDefault="00C13C36" w:rsidP="004A2E1C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>, выходом в Интернет и с доступом в электронную информационно-образовательную среду университ</w:t>
            </w:r>
            <w:r w:rsidRPr="0089591C">
              <w:t>е</w:t>
            </w:r>
            <w:r w:rsidRPr="0089591C">
              <w:t xml:space="preserve">та </w:t>
            </w:r>
          </w:p>
        </w:tc>
      </w:tr>
      <w:tr w:rsidR="00C13C36" w:rsidRPr="0089591C" w:rsidTr="00D20BF6">
        <w:tc>
          <w:tcPr>
            <w:tcW w:w="1928" w:type="pct"/>
          </w:tcPr>
          <w:p w:rsidR="00C13C36" w:rsidRPr="0089591C" w:rsidRDefault="00C13C36" w:rsidP="004A2E1C">
            <w:pPr>
              <w:ind w:firstLine="0"/>
              <w:contextualSpacing/>
            </w:pPr>
            <w:r w:rsidRPr="0089591C">
              <w:t>Помещение для хранения и профилактического обслужив</w:t>
            </w:r>
            <w:r w:rsidRPr="0089591C">
              <w:t>а</w:t>
            </w:r>
            <w:r w:rsidRPr="0089591C">
              <w:t>ния учебного оборудования</w:t>
            </w:r>
          </w:p>
        </w:tc>
        <w:tc>
          <w:tcPr>
            <w:tcW w:w="3072" w:type="pct"/>
          </w:tcPr>
          <w:p w:rsidR="00C13C36" w:rsidRPr="0089591C" w:rsidRDefault="00C13C36" w:rsidP="004A2E1C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340A69" w:rsidRPr="000B374F" w:rsidRDefault="00340A69" w:rsidP="004A2E1C">
      <w:pPr>
        <w:keepNext/>
        <w:autoSpaceDE/>
        <w:autoSpaceDN/>
        <w:adjustRightInd/>
        <w:outlineLvl w:val="0"/>
        <w:rPr>
          <w:rStyle w:val="FontStyle15"/>
          <w:b w:val="0"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E4" w:rsidRDefault="002845E4">
      <w:r>
        <w:separator/>
      </w:r>
    </w:p>
  </w:endnote>
  <w:endnote w:type="continuationSeparator" w:id="0">
    <w:p w:rsidR="002845E4" w:rsidRDefault="0028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F6" w:rsidRDefault="00D20BF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0BF6" w:rsidRDefault="00D20BF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F6" w:rsidRDefault="00D20BF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23BB">
      <w:rPr>
        <w:rStyle w:val="a4"/>
        <w:noProof/>
      </w:rPr>
      <w:t>16</w:t>
    </w:r>
    <w:r>
      <w:rPr>
        <w:rStyle w:val="a4"/>
      </w:rPr>
      <w:fldChar w:fldCharType="end"/>
    </w:r>
  </w:p>
  <w:p w:rsidR="00D20BF6" w:rsidRDefault="00D20BF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E4" w:rsidRDefault="002845E4">
      <w:r>
        <w:separator/>
      </w:r>
    </w:p>
  </w:footnote>
  <w:footnote w:type="continuationSeparator" w:id="0">
    <w:p w:rsidR="002845E4" w:rsidRDefault="0028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C7B6C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845E4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2B0F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2E1C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2475A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87F0B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1FBC"/>
    <w:rsid w:val="007E1DB1"/>
    <w:rsid w:val="007F12E6"/>
    <w:rsid w:val="007F7780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053F7"/>
    <w:rsid w:val="00A15A67"/>
    <w:rsid w:val="00A16B54"/>
    <w:rsid w:val="00A16C34"/>
    <w:rsid w:val="00A21351"/>
    <w:rsid w:val="00A21816"/>
    <w:rsid w:val="00A21C93"/>
    <w:rsid w:val="00A26E55"/>
    <w:rsid w:val="00A3084F"/>
    <w:rsid w:val="00A34045"/>
    <w:rsid w:val="00A34587"/>
    <w:rsid w:val="00A3664E"/>
    <w:rsid w:val="00A37599"/>
    <w:rsid w:val="00A40900"/>
    <w:rsid w:val="00A51202"/>
    <w:rsid w:val="00A5411E"/>
    <w:rsid w:val="00A54872"/>
    <w:rsid w:val="00A54F1C"/>
    <w:rsid w:val="00A5741F"/>
    <w:rsid w:val="00A67FD6"/>
    <w:rsid w:val="00A821BF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5E9E"/>
    <w:rsid w:val="00B46BF6"/>
    <w:rsid w:val="00B56311"/>
    <w:rsid w:val="00B60BA9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3C36"/>
    <w:rsid w:val="00C15B56"/>
    <w:rsid w:val="00C15BB4"/>
    <w:rsid w:val="00C2235B"/>
    <w:rsid w:val="00C256CA"/>
    <w:rsid w:val="00C26CAB"/>
    <w:rsid w:val="00C32535"/>
    <w:rsid w:val="00C348B0"/>
    <w:rsid w:val="00C34F0B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0BF6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0FFF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3D83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3BB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28F8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28F8"/>
  </w:style>
  <w:style w:type="paragraph" w:customStyle="1" w:styleId="Style2">
    <w:name w:val="Style2"/>
    <w:basedOn w:val="a"/>
    <w:rsid w:val="00FF28F8"/>
  </w:style>
  <w:style w:type="paragraph" w:customStyle="1" w:styleId="Style3">
    <w:name w:val="Style3"/>
    <w:basedOn w:val="a"/>
    <w:rsid w:val="00FF28F8"/>
  </w:style>
  <w:style w:type="paragraph" w:customStyle="1" w:styleId="Style4">
    <w:name w:val="Style4"/>
    <w:basedOn w:val="a"/>
    <w:rsid w:val="00FF28F8"/>
  </w:style>
  <w:style w:type="paragraph" w:customStyle="1" w:styleId="Style5">
    <w:name w:val="Style5"/>
    <w:basedOn w:val="a"/>
    <w:rsid w:val="00FF28F8"/>
  </w:style>
  <w:style w:type="paragraph" w:customStyle="1" w:styleId="Style6">
    <w:name w:val="Style6"/>
    <w:basedOn w:val="a"/>
    <w:rsid w:val="00FF28F8"/>
  </w:style>
  <w:style w:type="paragraph" w:customStyle="1" w:styleId="Style7">
    <w:name w:val="Style7"/>
    <w:basedOn w:val="a"/>
    <w:rsid w:val="00FF28F8"/>
  </w:style>
  <w:style w:type="paragraph" w:customStyle="1" w:styleId="Style8">
    <w:name w:val="Style8"/>
    <w:basedOn w:val="a"/>
    <w:uiPriority w:val="99"/>
    <w:rsid w:val="00FF28F8"/>
  </w:style>
  <w:style w:type="character" w:customStyle="1" w:styleId="FontStyle11">
    <w:name w:val="Font Style11"/>
    <w:basedOn w:val="a0"/>
    <w:rsid w:val="00FF28F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28F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F28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F28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F28F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28F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28F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23" Type="http://schemas.openxmlformats.org/officeDocument/2006/relationships/hyperlink" Target="https://scholar.google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CD8BD-1919-4536-96A6-354F0F38F1A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2C771D-BB24-4B37-9870-65D6CB9C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25756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8</cp:revision>
  <cp:lastPrinted>2018-11-05T16:58:00Z</cp:lastPrinted>
  <dcterms:created xsi:type="dcterms:W3CDTF">2020-10-08T07:53:00Z</dcterms:created>
  <dcterms:modified xsi:type="dcterms:W3CDTF">2020-11-05T03:44:00Z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