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E82" w:rsidRDefault="00B22B85">
      <w:r>
        <w:rPr>
          <w:noProof/>
        </w:rPr>
        <w:drawing>
          <wp:inline distT="0" distB="0" distL="0" distR="0" wp14:anchorId="49513489" wp14:editId="4B59490E">
            <wp:extent cx="5940425" cy="8513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2D0E82" w:rsidRDefault="00B22B85">
      <w:r>
        <w:rPr>
          <w:noProof/>
        </w:rPr>
        <w:lastRenderedPageBreak/>
        <w:drawing>
          <wp:inline distT="0" distB="0" distL="0" distR="0" wp14:anchorId="12A8B395" wp14:editId="6CFE1845">
            <wp:extent cx="5940425" cy="71888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82" w:rsidRDefault="002D0E82"/>
    <w:p w:rsidR="002D0E82" w:rsidRDefault="002D0E82">
      <w:r>
        <w:br w:type="page"/>
      </w:r>
    </w:p>
    <w:p w:rsidR="00B22B85" w:rsidRPr="00B22B85" w:rsidRDefault="00B22B85" w:rsidP="00B2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"/var/folders/kt/q6pmlrvj6hz3r6jmh0h3lwrm0000gn/T/com.microsoft.Word/WebArchiveCopyPasteTempFiles/page1image25829296" \* MERGEFORMATINET </w:instrText>
      </w:r>
      <w:r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2B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14385"/>
            <wp:effectExtent l="0" t="0" r="3175" b="5715"/>
            <wp:docPr id="1" name="Рисунок 1" descr="page1image2582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5829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B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B39F6" w:rsidRPr="00BB39F6" w:rsidRDefault="00BB39F6" w:rsidP="00BB3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5" w:rsidRPr="004A01A5" w:rsidRDefault="004A01A5" w:rsidP="004A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4A01A5">
      <w:pPr>
        <w:widowControl w:val="0"/>
        <w:spacing w:after="20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lastRenderedPageBreak/>
        <w:t>1</w:t>
      </w:r>
      <w:r w:rsidR="003C486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Цели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производственной практики по получению первичных профессиональных умений и навыков по специальности </w:t>
      </w:r>
      <w:r w:rsidRPr="007D4E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21.05.04 – Горное дело, специализация – Маркшейдерское дело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закрепление, расширение, углубление и систематизация теоретических знаний, полученных при изучении в прошедших семестрах, приобретение теоретических и практических знаний по геологии, горному делу и маркшейдерии по основным видам маркшейдерских работ в горных выработках и на </w:t>
      </w:r>
      <w:proofErr w:type="spellStart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промплощадке</w:t>
      </w:r>
      <w:proofErr w:type="spellEnd"/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а также выработки умения применять знания для решения практических и производственных задач в области маркшейдерского дела.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2 Задачи производственной практики -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практики являются: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закрепление теоретических знаний, полученных в процессе обучения в университете; 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7D4E9F" w:rsidRPr="007D4E9F" w:rsidRDefault="007D4E9F" w:rsidP="007D4E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данной практики обучающийся должен: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иметь представление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месторождениях полезных ископаемых и строительных материалов, их геологии и основных характеристиках;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месте и роли горного дела в развитии науки, техники и производства, принципах рационального и комплексного недропользования;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основах проектирования объектов горного производства как технологических систем;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знать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ведения горных работ, определение их основных параметров;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методы обогащения и комплексной переработки минерального сырья;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способы и средства геологического изучения объектов горного производства;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проведения маркшейдерских работ при строительстве шахт, карьеров, тоннелей и других наземно-подземных сооружений различного назначения, перенесение геометрических элементов сооружения с проекта в натуру и контроль за их осуществлением согласно проекту;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уметь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прогнозировать горно-геологические условия проведения горных работ и влияние этих работ на изменение напряженного состояния горного массива;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</w:t>
      </w:r>
      <w:r w:rsidR="001D64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предотвращению деформаций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, вызванных горными разработками;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рассчитывать и учитывать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7D4E9F" w:rsidRPr="007D4E9F" w:rsidRDefault="007D4E9F" w:rsidP="007D4E9F">
      <w:pPr>
        <w:widowControl w:val="0"/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самостоятельно принимать решения, разрабатывать и вести техническую 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документацию, организовывать повышение квалификации рабочих;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владеть</w:t>
      </w:r>
      <w:r w:rsidRPr="007D4E9F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7D4E9F" w:rsidRPr="007D4E9F" w:rsidRDefault="007D4E9F" w:rsidP="007D4E9F">
      <w:pPr>
        <w:keepNext/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современной вычислительной техникой.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3 Место производственной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практики - практики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в структуре образовательной программы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 знания, умения и владения, сформированные в результате изучения</w:t>
      </w:r>
      <w:r w:rsidR="001D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дисциплин: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Геология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«История горного дела»,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Геодезия», «Маркшейдерия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«Маркшейдерские работы при ОРМПИ», «Рудничная геология»,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Основы горного дела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«Обогащение полезных ископаемых», «Геодезия и маркшейдерия», «Метрология, стандартизация и сертификация», «Проектная деятельность», «</w:t>
      </w:r>
      <w:r w:rsidRPr="007D4E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Технология производства работ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D4E9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Маркшейдерские работы при строительстве подземных сооружений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«Маркшейдерская документация», «Высшая геодезия», «Геометрия недр»,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D4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Геометризация МПИ», «Горная геометрия», «Маркшейдерско-геодезические приборы».</w:t>
      </w:r>
    </w:p>
    <w:p w:rsidR="007D4E9F" w:rsidRPr="007D4E9F" w:rsidRDefault="007D4E9F" w:rsidP="007D4E9F">
      <w:pPr>
        <w:widowControl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навыки, полученные студентами при прохождении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практики,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затем при изучении дисциплин в 5 – 8 семестрах, в семестре А и выполнении курсовых проектов и работ.</w:t>
      </w: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4 Место проведения практики</w:t>
      </w:r>
    </w:p>
    <w:p w:rsidR="007D4E9F" w:rsidRPr="007D4E9F" w:rsidRDefault="007D4E9F" w:rsidP="007D4E9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– практика по получению первичных профессиональных умений и навыков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организациях, с которыми ФГБОУ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практик являются: горнопромышленные предприятия – ОАО «Учалинский ГОК», СФ ОАО «Учалинский ГОК», ГОП ОАО «ММК», ОАО «Гайский ГОК»,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ООО «Башкирская медь»,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Бурибайский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ГОК»,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Южуралзолото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группа компаний»,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ЗАО «Золото Северного Урала»,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</w:t>
      </w:r>
      <w:proofErr w:type="spellStart"/>
      <w:r w:rsidRPr="007D4E9F">
        <w:rPr>
          <w:rFonts w:ascii="Times New Roman" w:eastAsia="Calibri" w:hAnsi="Times New Roman" w:cs="Times New Roman"/>
          <w:sz w:val="24"/>
          <w:szCs w:val="24"/>
        </w:rPr>
        <w:t>Александринская</w:t>
      </w:r>
      <w:proofErr w:type="spellEnd"/>
      <w:r w:rsidRPr="007D4E9F">
        <w:rPr>
          <w:rFonts w:ascii="Times New Roman" w:eastAsia="Calibri" w:hAnsi="Times New Roman" w:cs="Times New Roman"/>
          <w:sz w:val="24"/>
          <w:szCs w:val="24"/>
        </w:rPr>
        <w:t xml:space="preserve"> горнорудная компания»;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строительно-монтажные управления и строительные организации - </w:t>
      </w:r>
      <w:r w:rsidRPr="007D4E9F">
        <w:rPr>
          <w:rFonts w:ascii="Times New Roman" w:eastAsia="Calibri" w:hAnsi="Times New Roman" w:cs="Times New Roman"/>
          <w:sz w:val="24"/>
          <w:szCs w:val="24"/>
        </w:rPr>
        <w:t>ОАО «БШПУ»,</w:t>
      </w:r>
      <w:r w:rsidR="001D6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E9F">
        <w:rPr>
          <w:rFonts w:ascii="Times New Roman" w:eastAsia="Calibri" w:hAnsi="Times New Roman" w:cs="Times New Roman"/>
          <w:sz w:val="24"/>
          <w:szCs w:val="24"/>
        </w:rPr>
        <w:t>СМУ-680 УС-30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выполняющие геодезические и горнотехнические работы не добычного направления.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</w:t>
      </w:r>
      <w:r w:rsidR="001D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</w:t>
      </w:r>
      <w:r w:rsidRPr="007D4E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 выездная.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</w:t>
      </w:r>
      <w:r w:rsidR="001D64C0"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непрерывно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5 Компетенции обучающегося, формируемые в результате прохождения производственной практики – практики по получению первичных профессиональных умений и навыков</w:t>
      </w:r>
      <w:r w:rsidRPr="007D4E9F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>,</w:t>
      </w:r>
      <w:r w:rsidR="001D64C0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  <w:t xml:space="preserve"> </w:t>
      </w: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 планируемые результаты</w:t>
      </w:r>
    </w:p>
    <w:p w:rsidR="007D4E9F" w:rsidRPr="007D4E9F" w:rsidRDefault="007D4E9F" w:rsidP="007D4E9F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прохождения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</w:t>
      </w:r>
      <w:r w:rsidRPr="007D4E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 – практики по получению первичных профессиональных умений и навыков у обучающегося должны быть сформированы следующие компетенции:</w:t>
      </w:r>
    </w:p>
    <w:p w:rsidR="007D4E9F" w:rsidRPr="007D4E9F" w:rsidRDefault="007D4E9F" w:rsidP="007D4E9F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56"/>
      </w:tblGrid>
      <w:tr w:rsidR="001D64C0" w:rsidRPr="007D4E9F" w:rsidTr="00F23358">
        <w:trPr>
          <w:trHeight w:val="911"/>
          <w:tblHeader/>
        </w:trPr>
        <w:tc>
          <w:tcPr>
            <w:tcW w:w="1171" w:type="pct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Структурный элемент 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D64C0" w:rsidRPr="00011EA9" w:rsidRDefault="001D64C0" w:rsidP="007D4E9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11EA9" w:rsidRPr="007D4E9F" w:rsidTr="00011EA9">
        <w:trPr>
          <w:trHeight w:val="279"/>
        </w:trPr>
        <w:tc>
          <w:tcPr>
            <w:tcW w:w="5000" w:type="pct"/>
            <w:gridSpan w:val="2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b/>
                <w:sz w:val="24"/>
                <w:szCs w:val="24"/>
              </w:rPr>
              <w:t>ОПК – 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современного знания о культуре в организационно-управленческой работе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новые подходы и принципы в рамках организационно-управленческой работы в организациях, осуществляющих деятельность в профессиональной области </w:t>
            </w:r>
          </w:p>
        </w:tc>
      </w:tr>
      <w:tr w:rsidR="00011EA9" w:rsidRPr="007D4E9F" w:rsidTr="00F23358">
        <w:trPr>
          <w:trHeight w:val="279"/>
        </w:trPr>
        <w:tc>
          <w:tcPr>
            <w:tcW w:w="1171" w:type="pct"/>
          </w:tcPr>
          <w:p w:rsidR="00011EA9" w:rsidRPr="00011EA9" w:rsidRDefault="00011EA9" w:rsidP="00011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3829" w:type="pct"/>
          </w:tcPr>
          <w:p w:rsidR="00011EA9" w:rsidRPr="00011EA9" w:rsidRDefault="00011EA9" w:rsidP="00011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9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новых подходов и принципов в рамках организационно-управленческой работы в организациях, осуществляющих деятельность в профессиональной области</w:t>
            </w:r>
          </w:p>
        </w:tc>
      </w:tr>
      <w:tr w:rsidR="007D4E9F" w:rsidRPr="007D4E9F" w:rsidTr="00F23358">
        <w:trPr>
          <w:trHeight w:val="1094"/>
        </w:trPr>
        <w:tc>
          <w:tcPr>
            <w:tcW w:w="5000" w:type="pct"/>
            <w:gridSpan w:val="2"/>
          </w:tcPr>
          <w:p w:rsidR="007D4E9F" w:rsidRPr="009602B8" w:rsidRDefault="00011EA9" w:rsidP="00960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ОПК-6 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11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процессы оценки в сфере строительства и эксплуатации подземных горных предприятий</w:t>
            </w:r>
          </w:p>
        </w:tc>
      </w:tr>
      <w:tr w:rsidR="001D64C0" w:rsidRPr="007D4E9F" w:rsidTr="00F23358">
        <w:trPr>
          <w:trHeight w:val="150"/>
        </w:trPr>
        <w:tc>
          <w:tcPr>
            <w:tcW w:w="1171" w:type="pct"/>
          </w:tcPr>
          <w:p w:rsidR="001D64C0" w:rsidRPr="007D4E9F" w:rsidRDefault="001D64C0" w:rsidP="007D4E9F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D64C0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определения процессов оценки в сфере строительства и эксплуатации подземных горных предприятий</w:t>
            </w:r>
          </w:p>
        </w:tc>
      </w:tr>
      <w:tr w:rsidR="007D4E9F" w:rsidRPr="007D4E9F" w:rsidTr="001D64C0">
        <w:trPr>
          <w:trHeight w:val="663"/>
        </w:trPr>
        <w:tc>
          <w:tcPr>
            <w:tcW w:w="5000" w:type="pct"/>
            <w:gridSpan w:val="2"/>
          </w:tcPr>
          <w:p w:rsidR="007D4E9F" w:rsidRPr="007D4E9F" w:rsidRDefault="00F23358" w:rsidP="001D6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ОПК-7 У</w:t>
            </w:r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мением пользоваться компьютером как средством управления и обработки </w:t>
            </w:r>
            <w:proofErr w:type="gramStart"/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ин-формационных</w:t>
            </w:r>
            <w:proofErr w:type="gramEnd"/>
            <w:r w:rsidRPr="00F23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массивов</w:t>
            </w:r>
          </w:p>
        </w:tc>
      </w:tr>
      <w:tr w:rsidR="00F23358" w:rsidRPr="007D4E9F" w:rsidTr="00F23358">
        <w:trPr>
          <w:trHeight w:val="19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методы обработки информационных массивов в компьютерных программных обеспечениях.</w:t>
            </w:r>
          </w:p>
        </w:tc>
      </w:tr>
      <w:tr w:rsidR="00F23358" w:rsidRPr="007D4E9F" w:rsidTr="00F23358">
        <w:trPr>
          <w:trHeight w:val="126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компьютерные технологии при обработке контактных снимков.</w:t>
            </w:r>
          </w:p>
        </w:tc>
      </w:tr>
      <w:tr w:rsidR="00F23358" w:rsidRPr="007D4E9F" w:rsidTr="00F23358">
        <w:trPr>
          <w:trHeight w:val="135"/>
        </w:trPr>
        <w:tc>
          <w:tcPr>
            <w:tcW w:w="1171" w:type="pct"/>
          </w:tcPr>
          <w:p w:rsidR="00F23358" w:rsidRPr="007D4E9F" w:rsidRDefault="00F23358" w:rsidP="00F233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F23358" w:rsidRPr="00F23358" w:rsidRDefault="00F23358" w:rsidP="00F23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8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</w:t>
            </w:r>
            <w:proofErr w:type="gramStart"/>
            <w:r w:rsidRPr="00F23358">
              <w:rPr>
                <w:rFonts w:ascii="Times New Roman" w:hAnsi="Times New Roman" w:cs="Times New Roman"/>
                <w:sz w:val="24"/>
                <w:szCs w:val="24"/>
              </w:rPr>
              <w:t>и  знаниями</w:t>
            </w:r>
            <w:proofErr w:type="gramEnd"/>
            <w:r w:rsidRPr="00F23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при управлении и обработке информации при технологиях дешифрирования и трансформирования в компьютерных программах.</w:t>
            </w:r>
          </w:p>
        </w:tc>
      </w:tr>
      <w:tr w:rsidR="007D4E9F" w:rsidRPr="007D4E9F" w:rsidTr="001D64C0">
        <w:trPr>
          <w:trHeight w:val="929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107F58" w:rsidRPr="007D4E9F" w:rsidTr="00F23358">
        <w:trPr>
          <w:trHeight w:val="13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методы измерения и опробования, методы количественного выражения изменчивости показателей залежи</w:t>
            </w:r>
          </w:p>
        </w:tc>
      </w:tr>
      <w:tr w:rsidR="00107F58" w:rsidRPr="007D4E9F" w:rsidTr="00F23358">
        <w:trPr>
          <w:trHeight w:val="165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составлять горно-геометрические графики размещения полезных компонентов, выявлять пространственные закономерности размещения показателей</w:t>
            </w:r>
          </w:p>
        </w:tc>
      </w:tr>
      <w:tr w:rsidR="00107F58" w:rsidRPr="007D4E9F" w:rsidTr="00F23358">
        <w:trPr>
          <w:trHeight w:val="96"/>
        </w:trPr>
        <w:tc>
          <w:tcPr>
            <w:tcW w:w="1171" w:type="pct"/>
          </w:tcPr>
          <w:p w:rsidR="00107F58" w:rsidRPr="007D4E9F" w:rsidRDefault="00107F58" w:rsidP="00107F5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107F58" w:rsidRPr="00107F58" w:rsidRDefault="00107F58" w:rsidP="00107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58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горно-геологических условий при эксплуатационной разведке и добыче твердых полезных ископаемых</w:t>
            </w:r>
          </w:p>
        </w:tc>
      </w:tr>
      <w:tr w:rsidR="007D4E9F" w:rsidRPr="007D4E9F" w:rsidTr="001D64C0">
        <w:trPr>
          <w:trHeight w:val="541"/>
        </w:trPr>
        <w:tc>
          <w:tcPr>
            <w:tcW w:w="5000" w:type="pct"/>
            <w:gridSpan w:val="2"/>
          </w:tcPr>
          <w:p w:rsidR="007D4E9F" w:rsidRPr="007D4E9F" w:rsidRDefault="00107F58" w:rsidP="00107F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ладением методами рационального и комплексного освоения </w:t>
            </w:r>
            <w:proofErr w:type="spellStart"/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георесурсного</w:t>
            </w:r>
            <w:proofErr w:type="spellEnd"/>
            <w:r w:rsidRPr="0010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потенциала недр</w:t>
            </w:r>
            <w:r w:rsidR="007D4E9F"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определения, понятия, правила и методы рационального и комплексного освоения </w:t>
            </w:r>
            <w:proofErr w:type="spellStart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мпи</w:t>
            </w:r>
            <w:proofErr w:type="spellEnd"/>
          </w:p>
        </w:tc>
      </w:tr>
      <w:tr w:rsidR="00C4100C" w:rsidRPr="007D4E9F" w:rsidTr="00F23358">
        <w:trPr>
          <w:trHeight w:val="126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развития по добыче полезного ископаемого и рационального использования минеральных ресурсов</w:t>
            </w:r>
          </w:p>
        </w:tc>
      </w:tr>
      <w:tr w:rsidR="00C4100C" w:rsidRPr="007D4E9F" w:rsidTr="00F23358">
        <w:trPr>
          <w:trHeight w:val="135"/>
        </w:trPr>
        <w:tc>
          <w:tcPr>
            <w:tcW w:w="1171" w:type="pct"/>
          </w:tcPr>
          <w:p w:rsidR="00C4100C" w:rsidRPr="007D4E9F" w:rsidRDefault="00C4100C" w:rsidP="00C4100C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C4100C" w:rsidRPr="00C4100C" w:rsidRDefault="00C4100C" w:rsidP="00C41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использования методов рационального и комплексного освоения </w:t>
            </w:r>
            <w:proofErr w:type="spellStart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C4100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1D64C0" w:rsidRDefault="0090090D" w:rsidP="009009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использовать технические сред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ства опытно-промышленных испыта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при добыче, переработке твердых полезных ископаемых, строительстве и эксплуатации подземных объектов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90090D" w:rsidRDefault="0090090D" w:rsidP="00900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0D">
              <w:rPr>
                <w:rFonts w:ascii="Times New Roman" w:hAnsi="Times New Roman" w:cs="Times New Roman"/>
                <w:sz w:val="24"/>
                <w:szCs w:val="24"/>
              </w:rPr>
              <w:t>навыками технических средств при добыче, переработке твердых полезных ископаемых, строительстве и эксплуатации подземных объектов.</w:t>
            </w:r>
          </w:p>
        </w:tc>
      </w:tr>
      <w:tr w:rsidR="007D4E9F" w:rsidRPr="007D4E9F" w:rsidTr="007D4E9F">
        <w:trPr>
          <w:trHeight w:val="328"/>
        </w:trPr>
        <w:tc>
          <w:tcPr>
            <w:tcW w:w="5000" w:type="pct"/>
            <w:gridSpan w:val="2"/>
          </w:tcPr>
          <w:p w:rsidR="007D4E9F" w:rsidRPr="001D64C0" w:rsidRDefault="0090090D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ПК-22 Г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работать с программными продукт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 общего и специального назна</w:t>
            </w:r>
            <w:r w:rsidRPr="00900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90090D" w:rsidRPr="007D4E9F" w:rsidTr="00F23358">
        <w:trPr>
          <w:trHeight w:val="112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90090D" w:rsidRPr="007D4E9F" w:rsidTr="00F23358">
        <w:trPr>
          <w:trHeight w:val="111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90090D" w:rsidRPr="007D4E9F" w:rsidTr="00F23358">
        <w:trPr>
          <w:trHeight w:val="150"/>
        </w:trPr>
        <w:tc>
          <w:tcPr>
            <w:tcW w:w="1171" w:type="pct"/>
          </w:tcPr>
          <w:p w:rsidR="0090090D" w:rsidRPr="007D4E9F" w:rsidRDefault="0090090D" w:rsidP="0090090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0090D" w:rsidRPr="000B030B" w:rsidRDefault="000B030B" w:rsidP="000B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0B">
              <w:rPr>
                <w:rFonts w:ascii="Times New Roman" w:hAnsi="Times New Roman" w:cs="Times New Roman"/>
                <w:sz w:val="24"/>
                <w:szCs w:val="24"/>
              </w:rPr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561F1" w:rsidRDefault="007561F1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-4.1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</w:t>
            </w:r>
            <w:r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земной поверхности и недр, </w:t>
            </w:r>
            <w:proofErr w:type="gramStart"/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горно-технических</w:t>
            </w:r>
            <w:proofErr w:type="gramEnd"/>
            <w:r w:rsidR="007D4E9F" w:rsidRPr="007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систем, подземных и наземных сооружений и отображать информацию в </w:t>
            </w:r>
            <w:r w:rsidR="007D4E9F"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соответствии</w:t>
            </w:r>
            <w:r w:rsidRPr="00756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нормативными требованиями</w:t>
            </w:r>
          </w:p>
        </w:tc>
      </w:tr>
      <w:tr w:rsidR="007561F1" w:rsidRPr="007D4E9F" w:rsidTr="00F23358">
        <w:trPr>
          <w:trHeight w:val="112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нахождения в пространстве подземных и наземных сооружений и отображать информацию в маркшейдерской документации</w:t>
            </w:r>
          </w:p>
        </w:tc>
      </w:tr>
      <w:tr w:rsidR="007561F1" w:rsidRPr="007D4E9F" w:rsidTr="00F23358">
        <w:trPr>
          <w:trHeight w:val="111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правильно и качественно выполнять расчеты и определять пространственные характеристики состояния земной поверхности и недр</w:t>
            </w:r>
          </w:p>
        </w:tc>
      </w:tr>
      <w:tr w:rsidR="007561F1" w:rsidRPr="007D4E9F" w:rsidTr="00F23358">
        <w:trPr>
          <w:trHeight w:val="150"/>
        </w:trPr>
        <w:tc>
          <w:tcPr>
            <w:tcW w:w="1171" w:type="pct"/>
          </w:tcPr>
          <w:p w:rsidR="007561F1" w:rsidRPr="007D4E9F" w:rsidRDefault="007561F1" w:rsidP="007561F1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7561F1" w:rsidRPr="007561F1" w:rsidRDefault="007561F1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1F1">
              <w:rPr>
                <w:rFonts w:ascii="Times New Roman" w:hAnsi="Times New Roman" w:cs="Times New Roman"/>
                <w:sz w:val="24"/>
                <w:szCs w:val="24"/>
              </w:rPr>
              <w:t>навыками ведения всех видов маркшейдерских работ и навыками для правильного определения пространственно-временных характеристик состояния земной поверхности и недр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011EA9" w:rsidP="00011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ПСК-4-2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011E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2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меры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11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использовать научные методы контроля на всех этапах освоения и охраны недр с обеспечением промышленной и экологической безопасности</w:t>
            </w:r>
          </w:p>
        </w:tc>
      </w:tr>
      <w:tr w:rsidR="00011EA9" w:rsidRPr="007D4E9F" w:rsidTr="00F23358">
        <w:trPr>
          <w:trHeight w:val="150"/>
        </w:trPr>
        <w:tc>
          <w:tcPr>
            <w:tcW w:w="1171" w:type="pct"/>
          </w:tcPr>
          <w:p w:rsidR="00011EA9" w:rsidRPr="007D4E9F" w:rsidRDefault="00011EA9" w:rsidP="00011EA9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3829" w:type="pct"/>
          </w:tcPr>
          <w:p w:rsidR="00011EA9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всех методов и навыками необходимыми при планировании и контроле за ведением горных работ на горном предприятии в соответствии с нормативными документами</w:t>
            </w:r>
          </w:p>
        </w:tc>
      </w:tr>
      <w:tr w:rsidR="007D4E9F" w:rsidRPr="007D4E9F" w:rsidTr="007D4E9F">
        <w:trPr>
          <w:trHeight w:val="523"/>
        </w:trPr>
        <w:tc>
          <w:tcPr>
            <w:tcW w:w="5000" w:type="pct"/>
            <w:gridSpan w:val="2"/>
          </w:tcPr>
          <w:p w:rsidR="007D4E9F" w:rsidRPr="00403304" w:rsidRDefault="00403304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3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ПСК -4.3 </w:t>
            </w:r>
            <w:r w:rsidR="007D4E9F" w:rsidRPr="00403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Способностью составлять проекты маркшейдерских и геодезических работ.</w:t>
            </w:r>
          </w:p>
        </w:tc>
      </w:tr>
      <w:tr w:rsidR="00403304" w:rsidRPr="007D4E9F" w:rsidTr="00F23358">
        <w:trPr>
          <w:trHeight w:val="112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способы проектирования по маркшейдерским работам</w:t>
            </w:r>
          </w:p>
        </w:tc>
      </w:tr>
      <w:tr w:rsidR="00403304" w:rsidRPr="007D4E9F" w:rsidTr="00F23358">
        <w:trPr>
          <w:trHeight w:val="111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правильно составлять проект маркшейдерских работ в электронном и бумажном вариантах</w:t>
            </w:r>
          </w:p>
        </w:tc>
      </w:tr>
      <w:tr w:rsidR="00403304" w:rsidRPr="007D4E9F" w:rsidTr="00F23358">
        <w:trPr>
          <w:trHeight w:val="150"/>
        </w:trPr>
        <w:tc>
          <w:tcPr>
            <w:tcW w:w="1171" w:type="pct"/>
          </w:tcPr>
          <w:p w:rsidR="00403304" w:rsidRPr="007D4E9F" w:rsidRDefault="00403304" w:rsidP="00403304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403304" w:rsidRPr="00403304" w:rsidRDefault="00403304" w:rsidP="00403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04">
              <w:rPr>
                <w:rFonts w:ascii="Times New Roman" w:hAnsi="Times New Roman" w:cs="Times New Roman"/>
                <w:sz w:val="24"/>
                <w:szCs w:val="24"/>
              </w:rPr>
              <w:t>приемами и навыками составление проекта маркшейдерских работ</w:t>
            </w:r>
          </w:p>
        </w:tc>
      </w:tr>
      <w:tr w:rsidR="007D4E9F" w:rsidRPr="007D4E9F" w:rsidTr="007D4E9F">
        <w:trPr>
          <w:trHeight w:val="825"/>
        </w:trPr>
        <w:tc>
          <w:tcPr>
            <w:tcW w:w="5000" w:type="pct"/>
            <w:gridSpan w:val="2"/>
          </w:tcPr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ПСК -4.4</w:t>
            </w:r>
          </w:p>
          <w:p w:rsidR="007D4E9F" w:rsidRPr="007D4E9F" w:rsidRDefault="007D4E9F" w:rsidP="007D4E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обосновывать и использовать методы геометризации и прогнозирования размещения показателей месторождения в пространстве.</w:t>
            </w:r>
          </w:p>
        </w:tc>
      </w:tr>
      <w:tr w:rsidR="009602B8" w:rsidRPr="007D4E9F" w:rsidTr="00F23358">
        <w:trPr>
          <w:trHeight w:val="112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методы геометризации и прогнозирования качественного размещения показателей месторождения в пространстве</w:t>
            </w:r>
          </w:p>
        </w:tc>
      </w:tr>
      <w:tr w:rsidR="009602B8" w:rsidRPr="007D4E9F" w:rsidTr="00F23358">
        <w:trPr>
          <w:trHeight w:val="111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</w:t>
            </w:r>
          </w:p>
        </w:tc>
      </w:tr>
      <w:tr w:rsidR="009602B8" w:rsidRPr="007D4E9F" w:rsidTr="00F23358">
        <w:trPr>
          <w:trHeight w:val="150"/>
        </w:trPr>
        <w:tc>
          <w:tcPr>
            <w:tcW w:w="1171" w:type="pct"/>
          </w:tcPr>
          <w:p w:rsidR="009602B8" w:rsidRPr="007D4E9F" w:rsidRDefault="009602B8" w:rsidP="009602B8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3829" w:type="pct"/>
          </w:tcPr>
          <w:p w:rsidR="009602B8" w:rsidRPr="009602B8" w:rsidRDefault="009602B8" w:rsidP="0096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8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</w:t>
            </w:r>
            <w:proofErr w:type="gramStart"/>
            <w:r w:rsidRPr="009602B8">
              <w:rPr>
                <w:rFonts w:ascii="Times New Roman" w:hAnsi="Times New Roman" w:cs="Times New Roman"/>
                <w:sz w:val="24"/>
                <w:szCs w:val="24"/>
              </w:rPr>
              <w:t>знаниями  компьютерных</w:t>
            </w:r>
            <w:proofErr w:type="gramEnd"/>
            <w:r w:rsidRPr="009602B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отображения спрогнозированных показателей размещения пи в пространстве</w:t>
            </w:r>
          </w:p>
        </w:tc>
      </w:tr>
    </w:tbl>
    <w:p w:rsidR="004A01A5" w:rsidRDefault="004A01A5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sectPr w:rsidR="004A0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358" w:rsidRDefault="00F23358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7D4E9F" w:rsidRPr="007D4E9F" w:rsidRDefault="007D4E9F" w:rsidP="007D4E9F">
      <w:pPr>
        <w:keepNext/>
        <w:keepLines/>
        <w:widowControl w:val="0"/>
        <w:spacing w:before="240" w:after="120" w:line="240" w:lineRule="auto"/>
        <w:ind w:left="567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7D4E9F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6Структура и содержание производственной практики – практики по получению первичных профессиональных умений и навыков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недель 4 в практике на 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4, 5</w:t>
      </w:r>
      <w:r w:rsid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курсах. 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недель 2 в практике на 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6 зачетных единиц, 216 часов.</w:t>
      </w:r>
    </w:p>
    <w:p w:rsidR="007D4E9F" w:rsidRPr="007D4E9F" w:rsidRDefault="007D4E9F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(</w:t>
      </w:r>
      <w:r w:rsidR="00F9544C" w:rsidRPr="00F95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курс) составляет 3 зачетные единицы, 108 часов. </w:t>
      </w:r>
    </w:p>
    <w:p w:rsidR="00F23358" w:rsidRPr="007D4E9F" w:rsidRDefault="00F23358" w:rsidP="007D4E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794"/>
        <w:gridCol w:w="710"/>
        <w:gridCol w:w="8896"/>
        <w:gridCol w:w="1694"/>
      </w:tblGrid>
      <w:tr w:rsidR="004A01A5" w:rsidRPr="00214336" w:rsidTr="00B468CB">
        <w:trPr>
          <w:trHeight w:val="1200"/>
          <w:tblHeader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(этапы)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урс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01A5" w:rsidRPr="00214336" w:rsidTr="00B468CB">
        <w:trPr>
          <w:trHeight w:val="1966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4A01A5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ФНиП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«Правила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ископаемых».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горнопромышленном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723"/>
        </w:trPr>
        <w:tc>
          <w:tcPr>
            <w:tcW w:w="1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976161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Географо-административное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регламентирующих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разработку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ОПК-3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214336" w:rsidRDefault="004A01A5" w:rsidP="0058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4A01A5" w:rsidRPr="00214336" w:rsidTr="00B468CB">
        <w:trPr>
          <w:trHeight w:val="1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(стратиграфия,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гидрогеология,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разведанность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Инженерно-геологические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1A5" w:rsidRPr="00214336" w:rsidRDefault="004A01A5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геологической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ОПК-6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ОПК-7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ПК-17</w:t>
            </w:r>
          </w:p>
          <w:p w:rsidR="004A01A5" w:rsidRPr="00976161" w:rsidRDefault="004A01A5" w:rsidP="00581E91">
            <w:pPr>
              <w:spacing w:after="0" w:line="240" w:lineRule="auto"/>
              <w:ind w:right="-80"/>
              <w:jc w:val="both"/>
              <w:rPr>
                <w:sz w:val="20"/>
                <w:szCs w:val="20"/>
              </w:rPr>
            </w:pPr>
            <w:r w:rsidRPr="00976161">
              <w:rPr>
                <w:rFonts w:ascii="Times New Roman" w:eastAsia="Times New Roman" w:hAnsi="Times New Roman" w:cs="Times New Roman"/>
                <w:sz w:val="20"/>
                <w:szCs w:val="20"/>
              </w:rPr>
              <w:t>ПК-22</w:t>
            </w:r>
          </w:p>
        </w:tc>
      </w:tr>
      <w:tr w:rsidR="00B468CB" w:rsidRPr="00214336" w:rsidTr="00B468CB">
        <w:trPr>
          <w:cantSplit/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соответствующим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(технологических)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разработки;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,4,5,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проветривания.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конструктивных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сдвижения).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581E91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proofErr w:type="gram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6.Обеспечение</w:t>
            </w:r>
            <w:proofErr w:type="gram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184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786BD5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671"/>
        </w:trPr>
        <w:tc>
          <w:tcPr>
            <w:tcW w:w="157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Принципиальная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горнокапитальных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ограничивающих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(ширины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горно-капительным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попутной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расстановка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вскрытых,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833"/>
        </w:trPr>
        <w:tc>
          <w:tcPr>
            <w:tcW w:w="157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компоновке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поверхностью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(выбор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подходов):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тоннели,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непосредственный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порталы.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поперечных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Увязка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магистралями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Технико-экономические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(графическая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работам).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(приборы,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обеспечение),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предприятии.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триангуляционных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полигонометрических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нивелирования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опорную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(рудника).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центрирование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горно-геометрический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тектонических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трещиноватости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массиве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разрабатываемом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сдвижением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разубоживания.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ОПК-7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ПСК-4.1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ПСК-4.2</w:t>
            </w:r>
          </w:p>
          <w:p w:rsidR="00B468CB" w:rsidRPr="00B468CB" w:rsidRDefault="00B468CB" w:rsidP="00B468CB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ПСК-4.3</w:t>
            </w:r>
          </w:p>
          <w:p w:rsidR="00B468CB" w:rsidRPr="00B468CB" w:rsidRDefault="00B468CB" w:rsidP="00B468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68CB">
              <w:rPr>
                <w:rFonts w:ascii="Times New Roman" w:eastAsia="Times New Roman" w:hAnsi="Times New Roman" w:cs="Times New Roman"/>
                <w:sz w:val="18"/>
                <w:szCs w:val="18"/>
              </w:rPr>
              <w:t>ПСК-4.4</w:t>
            </w: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(руднике).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вычислительная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геодезической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тахеометров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приборов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съемочной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камеральная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вынутых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ПЭВМ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съемки.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буровзрывных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траншей,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съездов.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Разбивка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путей.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безаварийной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горнотранспортного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(транспортно-отвальные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мосты,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консольные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отвалообразователи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роторные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шагающие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экскаваторы).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россыпных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месторождений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дражным,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скреперно-бульдозерным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изыскательских,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подготовительных,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строительно-монтажных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предстоящий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ископаемого.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вскрышных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974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Рудник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Разбивочные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(вынесение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подземных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коммуникаций).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армировке</w:t>
            </w:r>
            <w:proofErr w:type="spellEnd"/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вертикальных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(бурением,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замораживанием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пород).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полигона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околоствольного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двора.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выработок.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подъемной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ленточных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конвейеров.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8CB" w:rsidRPr="00214336" w:rsidTr="00B468CB">
        <w:trPr>
          <w:trHeight w:val="1966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метрострое,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спецтоннельстрое</w:t>
            </w:r>
            <w:proofErr w:type="spellEnd"/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Б,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подпункты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щитовым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укладке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тоннелях.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Маркшейдерское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проходки: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встречными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забоями.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Маркшейдерские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проходке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ходов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(эскалаторных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тоннелей).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8CB" w:rsidRPr="00214336" w:rsidRDefault="00B468CB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Наблюдения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осадками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деформациями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обделки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станций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14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3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тоннелей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68CB" w:rsidRPr="00214336" w:rsidRDefault="00B468CB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497E" w:rsidRPr="00214336" w:rsidTr="00E0497E">
        <w:trPr>
          <w:trHeight w:val="1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58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497E" w:rsidRPr="00214336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3,4,5,6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B46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с основными опасными производственными объектами и мероприятиями по обеспечению безопасного ведения горных работ.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ОПК-6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ПК-17</w:t>
            </w:r>
          </w:p>
          <w:p w:rsidR="00E0497E" w:rsidRPr="00E0497E" w:rsidRDefault="00E0497E" w:rsidP="00E0497E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497E">
              <w:rPr>
                <w:rFonts w:ascii="Times New Roman" w:eastAsia="Times New Roman" w:hAnsi="Times New Roman" w:cs="Times New Roman"/>
                <w:sz w:val="18"/>
                <w:szCs w:val="18"/>
              </w:rPr>
              <w:t>ПК-22</w:t>
            </w:r>
          </w:p>
          <w:p w:rsidR="00E0497E" w:rsidRPr="00214336" w:rsidRDefault="00E0497E" w:rsidP="00581E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01A5" w:rsidRPr="00786BD5" w:rsidRDefault="004A01A5" w:rsidP="004A01A5">
      <w:pPr>
        <w:rPr>
          <w:sz w:val="0"/>
          <w:szCs w:val="0"/>
        </w:rPr>
      </w:pPr>
      <w:r w:rsidRPr="0009080B">
        <w:br w:type="page"/>
      </w:r>
    </w:p>
    <w:p w:rsidR="004A01A5" w:rsidRDefault="004A01A5" w:rsidP="007D4E9F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sectPr w:rsidR="004A01A5" w:rsidSect="004A01A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87EF9" w:rsidRDefault="00787EF9" w:rsidP="00787EF9">
      <w:pPr>
        <w:keepNext/>
        <w:spacing w:before="240" w:after="120" w:line="264" w:lineRule="auto"/>
        <w:ind w:left="567"/>
        <w:jc w:val="both"/>
        <w:rPr>
          <w:rFonts w:ascii="Times New Roman" w:eastAsia="Times New Roman" w:hAnsi="Times New Roman" w:cs="Times New Roman"/>
          <w:b/>
          <w:color w:val="C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7</w:t>
      </w:r>
      <w:r w:rsidR="003C486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Оценочные средства для проведения промежуточной аттестации по производственной практике – практике по получению первичных профессиональных умений и навыков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/>
          <w:bCs/>
          <w:sz w:val="24"/>
          <w:szCs w:val="24"/>
        </w:rPr>
        <w:t>Примерное индивидуальное задание на практику (место практики -</w:t>
      </w:r>
      <w:r w:rsidRPr="0009080B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9080B">
        <w:rPr>
          <w:rFonts w:ascii="Times New Roman" w:hAnsi="Times New Roman" w:cs="Times New Roman"/>
          <w:b/>
          <w:sz w:val="24"/>
          <w:szCs w:val="24"/>
        </w:rPr>
        <w:t>аботающий рудник</w:t>
      </w:r>
      <w:r w:rsidRPr="0009080B">
        <w:rPr>
          <w:rFonts w:ascii="Times New Roman" w:hAnsi="Times New Roman" w:cs="Times New Roman"/>
          <w:bCs/>
          <w:sz w:val="24"/>
          <w:szCs w:val="24"/>
        </w:rPr>
        <w:t>).</w:t>
      </w:r>
    </w:p>
    <w:p w:rsidR="00787EF9" w:rsidRPr="0009080B" w:rsidRDefault="00787EF9" w:rsidP="00787EF9">
      <w:pPr>
        <w:pStyle w:val="af5"/>
        <w:keepNext/>
        <w:numPr>
          <w:ilvl w:val="0"/>
          <w:numId w:val="45"/>
        </w:numPr>
        <w:spacing w:line="240" w:lineRule="auto"/>
        <w:ind w:left="0" w:firstLine="567"/>
        <w:outlineLvl w:val="0"/>
        <w:rPr>
          <w:iCs/>
        </w:rPr>
      </w:pPr>
      <w:r w:rsidRPr="0009080B">
        <w:rPr>
          <w:iCs/>
        </w:rPr>
        <w:t>Обучение правилам техники безопасности.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2.. Географо-административное положение месторождения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 Геология (графическая часть - геологическая карта, 1-2 разреза).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3.1. Геологическое строение месторождения (стратиграфия, литология, тектоника, гидрогеология,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разведанность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шахтного поля).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3.2. Инженерно-геологические условия разработки.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3.3. Подсчет запасов.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 Горная часть (графическая часть: план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промплощадки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4.1. Определение годовой производительности и срока существования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4.2. Выбор способа вскрытия и подготовки. Схема и способ проветривания.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4.3. Технология и механизация проведения горно-капитальных и подготовительных выработок.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4.4. Выбор системы разработки, ее особенности и параметры.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4.5. Технология, механизация и организация основных и вспомогательных производственных процессов.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4.7 Рациональное использование природных ресурсов.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4.8. Технико-экономические показатели рудника.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5. Маркшейдерские работы (графическая часть согласно выполненным работам).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отвода,  работа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с GPS в т. ч. с применением технологии  GPS.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5.3. Нивелировка IV класса для передачи высотных отметок от репера или марки точного нивелирования на опорную сеть шахты (рудника).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5.4. Ориентирование и центрирование подземной маркшейдерской опорной сети. Передача высот в горные выработки.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5.5. Создание и развитие подземных маркшейдерских опорных сетей.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5.6. Горизонтальные и вертикальные съемки в подготовительных и очистных выработках.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5.7. Задание направления горным выработкам.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5.8. Маркшейдерский контроль оперативного учета добычи.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5.9. Проверка геометрического комплекса шахтного подъема.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5.10. Составление структурных и качественных графиков, горно-геометрический анализ тектонических нарушений и </w:t>
      </w:r>
      <w:proofErr w:type="spellStart"/>
      <w:r w:rsidRPr="0009080B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09080B">
        <w:rPr>
          <w:rFonts w:ascii="Times New Roman" w:hAnsi="Times New Roman" w:cs="Times New Roman"/>
          <w:sz w:val="24"/>
          <w:szCs w:val="24"/>
        </w:rPr>
        <w:t xml:space="preserve"> в горном массиве и в разрабатываемом полезном ископаемом.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5.11.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5.12. Составление календарных планов развития горных работ на предстоящий период.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5.13. Подсчет запасов полезного ископаемого. Учет движения запасов, потерь и разубоживания. 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6. 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</w:r>
    </w:p>
    <w:p w:rsidR="00787EF9" w:rsidRPr="0009080B" w:rsidRDefault="00787EF9" w:rsidP="00787EF9">
      <w:pPr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Примерные задания на практику для других видов </w:t>
      </w:r>
      <w:proofErr w:type="gramStart"/>
      <w:r w:rsidRPr="0009080B">
        <w:rPr>
          <w:rFonts w:ascii="Times New Roman" w:hAnsi="Times New Roman" w:cs="Times New Roman"/>
          <w:sz w:val="24"/>
          <w:szCs w:val="24"/>
        </w:rPr>
        <w:t>горно-добывающих</w:t>
      </w:r>
      <w:proofErr w:type="gramEnd"/>
      <w:r w:rsidRPr="0009080B">
        <w:rPr>
          <w:rFonts w:ascii="Times New Roman" w:hAnsi="Times New Roman" w:cs="Times New Roman"/>
          <w:sz w:val="24"/>
          <w:szCs w:val="24"/>
        </w:rPr>
        <w:t xml:space="preserve"> и шахтостроительных организаций (карьер в период разработки запасов, рудник и карьер в период строительства, метро) приведены в п.6. в таблице с наименованием этапов практики и содержания отчета на каждом этапе.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80B">
        <w:rPr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 обучающихся на практике: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Ответы на вопросы по геологической характеристике месторождения, технологии разработки месторождения, маркшейдерскому обеспечению горных работ. Например</w:t>
      </w:r>
      <w:proofErr w:type="gramStart"/>
      <w:r w:rsidRPr="00786BD5">
        <w:t>: Чем</w:t>
      </w:r>
      <w:proofErr w:type="gramEnd"/>
      <w:r w:rsidRPr="00786BD5">
        <w:t xml:space="preserve"> представлены руды и вмещающие породы?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Каковы запасы полезного ископаемого по категориям?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Какие основные геологические нарушения оказывают влияние на ведение горных работ?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 способ отработки месторождения?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Каковы основные решения по вскрытию запасов, охарактеризуйте выработки и место их заложения. 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система разработки, чем обоснован ее выбор, параметры.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Какова механизация основных производственных процессов?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Чем представлена и создана опорная и съемочная маркшейдерская сеть?</w:t>
      </w:r>
    </w:p>
    <w:p w:rsidR="00787EF9" w:rsidRPr="00786BD5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>Каково оснащение маркшейдерского отдела, каким ПО выполняют обработку результатов съемок?</w:t>
      </w:r>
    </w:p>
    <w:p w:rsidR="00787EF9" w:rsidRDefault="00787EF9" w:rsidP="00787EF9">
      <w:pPr>
        <w:pStyle w:val="af5"/>
        <w:numPr>
          <w:ilvl w:val="0"/>
          <w:numId w:val="47"/>
        </w:numPr>
        <w:spacing w:line="240" w:lineRule="auto"/>
        <w:ind w:left="0" w:firstLine="567"/>
      </w:pPr>
      <w:r w:rsidRPr="00786BD5">
        <w:t xml:space="preserve">Поясните методику выполнения основных видов маркшейдерских работ (проведения поверок маркшейдерско-геодезических приборов, создания плановой опорной сети в подземных горных выработках; геометрическим нивелированием в горных выработках для создания высотной сети; </w:t>
      </w:r>
      <w:proofErr w:type="spellStart"/>
      <w:r w:rsidRPr="00786BD5">
        <w:t>проложения</w:t>
      </w:r>
      <w:proofErr w:type="spellEnd"/>
      <w:r w:rsidRPr="00786BD5">
        <w:t xml:space="preserve"> съемочного теодолитного хода, съемки горной выработки и составление плана участка съемки; составления профиля откаточных путей по результатам нивелирования в подземных горных выработках; вынос в натуру на </w:t>
      </w:r>
      <w:proofErr w:type="spellStart"/>
      <w:r w:rsidRPr="00786BD5">
        <w:t>промплощадке</w:t>
      </w:r>
      <w:proofErr w:type="spellEnd"/>
      <w:r w:rsidRPr="00786BD5">
        <w:t xml:space="preserve"> центра устья горной выработки и задание проектного направления на ее проходку; съемки склада полезного ископаемого, составление плана склада и подсчетом его объема способом горизонтальных и вертикальных сечений).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786BD5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направление на практику;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дневник прохождения практики;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полностью оформленный отчет;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- отзыв-характеристика.</w:t>
      </w:r>
    </w:p>
    <w:p w:rsidR="00787EF9" w:rsidRDefault="00787EF9" w:rsidP="00787EF9">
      <w:pPr>
        <w:pStyle w:val="af5"/>
        <w:spacing w:line="240" w:lineRule="auto"/>
        <w:ind w:left="0"/>
        <w:rPr>
          <w:bCs/>
        </w:rPr>
      </w:pPr>
      <w:r w:rsidRPr="0009080B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787EF9" w:rsidRPr="009D4EBE" w:rsidRDefault="00787EF9" w:rsidP="00787EF9">
      <w:pPr>
        <w:pStyle w:val="af5"/>
        <w:spacing w:line="240" w:lineRule="auto"/>
        <w:ind w:left="0"/>
      </w:pPr>
      <w:r w:rsidRPr="0009080B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</w:t>
      </w:r>
      <w:r w:rsidRPr="0009080B">
        <w:rPr>
          <w:bCs/>
        </w:rPr>
        <w:lastRenderedPageBreak/>
        <w:t xml:space="preserve">по практике; отзывы руководителей практики от организации и кафедры, ответы на вопросы в ходе защиты отчета. </w:t>
      </w:r>
    </w:p>
    <w:p w:rsidR="00787EF9" w:rsidRPr="0009080B" w:rsidRDefault="00787EF9" w:rsidP="00787EF9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9080B">
        <w:rPr>
          <w:rFonts w:ascii="Times New Roman" w:hAnsi="Times New Roman" w:cs="Times New Roman"/>
          <w:bCs/>
          <w:sz w:val="24"/>
          <w:szCs w:val="24"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По итогам промежуточной аттестации выставляются зачет с оценкой, оценки «отлично», «хорошо», «удовлетворительно», «неудовлетворительно».</w:t>
      </w:r>
    </w:p>
    <w:p w:rsidR="00787EF9" w:rsidRPr="0009080B" w:rsidRDefault="00787EF9" w:rsidP="00787EF9">
      <w:pPr>
        <w:pStyle w:val="14"/>
        <w:shd w:val="clear" w:color="auto" w:fill="FFFFFF"/>
        <w:spacing w:before="0" w:line="240" w:lineRule="auto"/>
        <w:ind w:right="-1" w:firstLine="567"/>
        <w:rPr>
          <w:color w:val="000000"/>
          <w:spacing w:val="2"/>
          <w:sz w:val="24"/>
          <w:szCs w:val="24"/>
        </w:rPr>
      </w:pPr>
      <w:r w:rsidRPr="0009080B">
        <w:rPr>
          <w:i/>
          <w:color w:val="000000"/>
          <w:sz w:val="24"/>
          <w:szCs w:val="24"/>
        </w:rPr>
        <w:t>Критерии оценки защиты</w:t>
      </w:r>
      <w:r w:rsidRPr="0009080B">
        <w:rPr>
          <w:color w:val="000000"/>
          <w:sz w:val="24"/>
          <w:szCs w:val="24"/>
        </w:rPr>
        <w:t xml:space="preserve"> отчета по производственной преддипломной практике: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87EF9" w:rsidRPr="0009080B" w:rsidRDefault="00787EF9" w:rsidP="00787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80B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9080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9080B">
        <w:rPr>
          <w:rFonts w:ascii="Times New Roman" w:hAnsi="Times New Roman" w:cs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</w:t>
      </w:r>
      <w:r w:rsidRPr="0009080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87EF9" w:rsidRPr="0009080B" w:rsidRDefault="00787EF9" w:rsidP="00787EF9"/>
    <w:p w:rsidR="00787EF9" w:rsidRDefault="00787EF9" w:rsidP="00787EF9">
      <w:pPr>
        <w:keepNext/>
        <w:keepLines/>
        <w:spacing w:before="240" w:after="120" w:line="240" w:lineRule="auto"/>
        <w:ind w:left="567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Учебно-методическое и информационное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а) Основная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В.Н. Гусев 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16 с. —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https://e.lanbook.com/book/111356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 /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Калинченко</w:t>
      </w:r>
      <w:proofErr w:type="spellEnd"/>
      <w:r>
        <w:rPr>
          <w:rFonts w:ascii="Times New Roman" w:eastAsia="Times New Roman" w:hAnsi="Times New Roman" w:cs="Times New Roman"/>
          <w:sz w:val="24"/>
        </w:rPr>
        <w:t>[и др.].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2015. — 28 с. —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https://e.lanbook.com/book/101730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сборник научных трудов.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2018. — 124 с. —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https://e.lanbook.com/book/111369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Несмеянова, Ю.Б. Маркшейдерское обеспечение безопасности ведения горных работ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Ю.Б. Несмеянова.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32 с. — Режим доступа: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https://e.lanbook.com/book/108118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Орлов, Г.В. Сдвижение горных пород и земной поверхности под влиянием подземной разработки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Г.В. Орлов.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Горная книга, 2017. — 198 с. — Режим доступа: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https://e.lanbook.com/book/111342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Сапронова, Н.П. Проектирование производства маркшейдерских работ при проведении горных выработок встречными </w:t>
      </w:r>
      <w:proofErr w:type="gramStart"/>
      <w:r>
        <w:rPr>
          <w:rFonts w:ascii="Times New Roman" w:eastAsia="Times New Roman" w:hAnsi="Times New Roman" w:cs="Times New Roman"/>
          <w:sz w:val="24"/>
        </w:rPr>
        <w:t>забоями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методические указания к курсовому проектированию [Электронный ресурс] : методические указания / Н.П. Сапронова.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2016. — 25 с. — Режим доступа: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https://e.lanbook.com/book/93617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б) Дополнительная литература: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Азаров, Б.Ф. Геодезическая практика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Б.Ф. Азаров, И.В. Карелина, Г.И. </w:t>
      </w:r>
      <w:proofErr w:type="spellStart"/>
      <w:r>
        <w:rPr>
          <w:rFonts w:ascii="Times New Roman" w:eastAsia="Times New Roman" w:hAnsi="Times New Roman" w:cs="Times New Roman"/>
          <w:sz w:val="24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Хлебородова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2015. — 288 с. — Режим доступа: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https://e.lanbook.com/book/65947</w:t>
        </w:r>
      </w:hyperlink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, Б.А. Программное обеспечение геодезии, фотограмметрии, кадастра, инженерных изысканий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Б.А.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Браверман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244 с. — Режим доступа: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https://e.lanbook.com/book/108673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Дьяков, Б.Н.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учебник / Б.Н. Дьяков.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2018. — 416 с. — Режим доступа: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https://e.lanbook.com/book/102589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И.И.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И.И. </w:t>
      </w:r>
      <w:proofErr w:type="spellStart"/>
      <w:r>
        <w:rPr>
          <w:rFonts w:ascii="Times New Roman" w:eastAsia="Times New Roman" w:hAnsi="Times New Roman" w:cs="Times New Roman"/>
          <w:sz w:val="24"/>
        </w:rPr>
        <w:t>Ерилова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МИСИС, 2017. — 55 с. — Режим доступа: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https://e.lanbook.com/book/105279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Захаров, М.С. Картографический метод и геоинформационные системы в инженерной геологии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М.С. Захаров, А.Г. Кобзев.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Санкт-</w:t>
      </w:r>
      <w:proofErr w:type="gramStart"/>
      <w:r>
        <w:rPr>
          <w:rFonts w:ascii="Times New Roman" w:eastAsia="Times New Roman" w:hAnsi="Times New Roman" w:cs="Times New Roman"/>
          <w:sz w:val="24"/>
        </w:rPr>
        <w:t>Петербург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Лань, 2017. — 116 с. — Режим доступа: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https://e.lanbook.com/book/97679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Кузнецов, О.Ф. Основы геодезии и топография местности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Вологда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"Инфра-Инженерия", 2018. — 286 с. — Режим доступа: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https://e.lanbook.com/book/108671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Симонян, В.В. Геодезия [Электронный ресурс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учебное пособие / В.В. Симонян, О.Ф. Кузнецов. — Электрон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дан. — </w:t>
      </w:r>
      <w:proofErr w:type="gramStart"/>
      <w:r>
        <w:rPr>
          <w:rFonts w:ascii="Times New Roman" w:eastAsia="Times New Roman" w:hAnsi="Times New Roman" w:cs="Times New Roman"/>
          <w:sz w:val="24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МИСИ – МГСУ, 2018. — 160 с. — Режим доступа: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https://e.lanbook.com/book/108516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Методические указания:</w:t>
      </w:r>
    </w:p>
    <w:p w:rsidR="00787EF9" w:rsidRDefault="00787EF9" w:rsidP="00BB39F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Е.А. Горбатова, Е.А.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Емельяненко,О.С.Колесатова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Е.А. Романько. Маркшейдерское дело: Программы практик для студентов специальности 130402. Магнитогорск: МГТУ, 2010. 28 с.</w:t>
      </w:r>
      <w:r w:rsidR="00E96B7C">
        <w:rPr>
          <w:rFonts w:ascii="Times New Roman" w:eastAsia="Times New Roman" w:hAnsi="Times New Roman" w:cs="Times New Roman"/>
          <w:sz w:val="24"/>
        </w:rPr>
        <w:t xml:space="preserve"> </w:t>
      </w:r>
      <w:hyperlink r:id="rId24" w:history="1">
        <w:r w:rsidR="00BB39F6" w:rsidRPr="00D14AFD">
          <w:rPr>
            <w:rStyle w:val="a4"/>
            <w:rFonts w:asciiTheme="minorHAnsi" w:hAnsiTheme="minorHAnsi" w:cstheme="minorBidi"/>
          </w:rPr>
          <w:t>https://newlms.magtu.ru/pluginfile.php/1646635/mod_resource/content/1/Методические%20указания%20по%20практике.PDF</w:t>
        </w:r>
      </w:hyperlink>
      <w:r w:rsidR="00BB39F6">
        <w:t xml:space="preserve"> </w:t>
      </w:r>
    </w:p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7EF9" w:rsidRPr="00FB29F0" w:rsidRDefault="00787EF9" w:rsidP="00787E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9F0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787EF9" w:rsidRPr="00FB29F0" w:rsidRDefault="00787EF9" w:rsidP="00787EF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6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8" w:history="1">
        <w:proofErr w:type="gram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FB2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B29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87EF9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EF9" w:rsidRPr="00FB29F0" w:rsidRDefault="00787EF9" w:rsidP="00787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29F0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FB29F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B22B85" w:rsidRPr="00B22B85" w:rsidTr="00B22B85">
        <w:trPr>
          <w:trHeight w:val="281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tabs>
                <w:tab w:val="center" w:pos="2748"/>
                <w:tab w:val="left" w:pos="410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B22B85" w:rsidRPr="00B22B85" w:rsidTr="00B22B85">
        <w:trPr>
          <w:trHeight w:val="285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B22B85" w:rsidRPr="00B22B85" w:rsidTr="00B22B85">
        <w:trPr>
          <w:trHeight w:val="272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22B85" w:rsidRPr="00B22B85" w:rsidTr="00B22B85">
        <w:trPr>
          <w:trHeight w:val="297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Д-300-18 от 31.03.2018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Д-1347-17 от 20.12.2017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Д-1481-16 от 25.11.2016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22B85" w:rsidRPr="00B22B85" w:rsidTr="00B22B85">
        <w:trPr>
          <w:trHeight w:val="297"/>
          <w:jc w:val="center"/>
        </w:trPr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22B85" w:rsidRPr="00B22B85" w:rsidRDefault="00B22B85" w:rsidP="00B22B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B8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787EF9" w:rsidRDefault="00787EF9" w:rsidP="00787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Материально-техническое обеспечение производственной практики – практики по получению первичных профессиональных умений и навыков</w:t>
      </w:r>
    </w:p>
    <w:p w:rsidR="00787EF9" w:rsidRDefault="00787EF9" w:rsidP="00787EF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практики – практики по получению первичных профессиональных умений и навыков и сформировать соответствующие компетенции. </w:t>
      </w:r>
    </w:p>
    <w:p w:rsidR="00787EF9" w:rsidRDefault="00787EF9" w:rsidP="00787EF9">
      <w:pPr>
        <w:rPr>
          <w:rFonts w:ascii="Calibri" w:eastAsia="Calibri" w:hAnsi="Calibri" w:cs="Calibri"/>
        </w:rPr>
      </w:pPr>
    </w:p>
    <w:p w:rsidR="00C95B20" w:rsidRDefault="00C95B20" w:rsidP="00787EF9">
      <w:pPr>
        <w:keepNext/>
        <w:widowControl w:val="0"/>
        <w:spacing w:before="240" w:after="120" w:line="264" w:lineRule="auto"/>
        <w:ind w:left="567"/>
        <w:outlineLvl w:val="0"/>
      </w:pPr>
    </w:p>
    <w:sectPr w:rsidR="00C95B20" w:rsidSect="0003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41D3" w:rsidRDefault="00C441D3" w:rsidP="00B468CB">
      <w:pPr>
        <w:spacing w:after="0" w:line="240" w:lineRule="auto"/>
      </w:pPr>
      <w:r>
        <w:separator/>
      </w:r>
    </w:p>
  </w:endnote>
  <w:endnote w:type="continuationSeparator" w:id="0">
    <w:p w:rsidR="00C441D3" w:rsidRDefault="00C441D3" w:rsidP="00B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41D3" w:rsidRDefault="00C441D3" w:rsidP="00B468CB">
      <w:pPr>
        <w:spacing w:after="0" w:line="240" w:lineRule="auto"/>
      </w:pPr>
      <w:r>
        <w:separator/>
      </w:r>
    </w:p>
  </w:footnote>
  <w:footnote w:type="continuationSeparator" w:id="0">
    <w:p w:rsidR="00C441D3" w:rsidRDefault="00C441D3" w:rsidP="00B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744829"/>
    <w:multiLevelType w:val="multilevel"/>
    <w:tmpl w:val="15944E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5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 w15:restartNumberingAfterBreak="0">
    <w:nsid w:val="10C17C1C"/>
    <w:multiLevelType w:val="hybridMultilevel"/>
    <w:tmpl w:val="5A1C5332"/>
    <w:lvl w:ilvl="0" w:tplc="7AC67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0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4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D625C9"/>
    <w:multiLevelType w:val="hybridMultilevel"/>
    <w:tmpl w:val="AEBE4290"/>
    <w:lvl w:ilvl="0" w:tplc="0419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F1903E7"/>
    <w:multiLevelType w:val="multilevel"/>
    <w:tmpl w:val="E38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AF1C5C"/>
    <w:multiLevelType w:val="multilevel"/>
    <w:tmpl w:val="43964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7B548FD"/>
    <w:multiLevelType w:val="multilevel"/>
    <w:tmpl w:val="86F28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37"/>
  </w:num>
  <w:num w:numId="3">
    <w:abstractNumId w:val="4"/>
  </w:num>
  <w:num w:numId="4">
    <w:abstractNumId w:val="26"/>
  </w:num>
  <w:num w:numId="5">
    <w:abstractNumId w:val="13"/>
  </w:num>
  <w:num w:numId="6">
    <w:abstractNumId w:val="7"/>
  </w:num>
  <w:num w:numId="7">
    <w:abstractNumId w:val="39"/>
  </w:num>
  <w:num w:numId="8">
    <w:abstractNumId w:val="23"/>
  </w:num>
  <w:num w:numId="9">
    <w:abstractNumId w:val="27"/>
  </w:num>
  <w:num w:numId="10">
    <w:abstractNumId w:val="21"/>
  </w:num>
  <w:num w:numId="11">
    <w:abstractNumId w:val="43"/>
  </w:num>
  <w:num w:numId="12">
    <w:abstractNumId w:val="17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11"/>
  </w:num>
  <w:num w:numId="18">
    <w:abstractNumId w:val="35"/>
  </w:num>
  <w:num w:numId="19">
    <w:abstractNumId w:val="10"/>
  </w:num>
  <w:num w:numId="20">
    <w:abstractNumId w:val="28"/>
  </w:num>
  <w:num w:numId="21">
    <w:abstractNumId w:val="25"/>
  </w:num>
  <w:num w:numId="22">
    <w:abstractNumId w:val="34"/>
  </w:num>
  <w:num w:numId="23">
    <w:abstractNumId w:val="30"/>
  </w:num>
  <w:num w:numId="24">
    <w:abstractNumId w:val="40"/>
  </w:num>
  <w:num w:numId="25">
    <w:abstractNumId w:val="46"/>
  </w:num>
  <w:num w:numId="26">
    <w:abstractNumId w:val="6"/>
  </w:num>
  <w:num w:numId="27">
    <w:abstractNumId w:val="33"/>
  </w:num>
  <w:num w:numId="28">
    <w:abstractNumId w:val="5"/>
  </w:num>
  <w:num w:numId="29">
    <w:abstractNumId w:val="41"/>
  </w:num>
  <w:num w:numId="30">
    <w:abstractNumId w:val="31"/>
  </w:num>
  <w:num w:numId="31">
    <w:abstractNumId w:val="15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9"/>
  </w:num>
  <w:num w:numId="36">
    <w:abstractNumId w:val="22"/>
  </w:num>
  <w:num w:numId="37">
    <w:abstractNumId w:val="36"/>
  </w:num>
  <w:num w:numId="38">
    <w:abstractNumId w:val="42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5"/>
  </w:num>
  <w:num w:numId="41">
    <w:abstractNumId w:val="44"/>
  </w:num>
  <w:num w:numId="42">
    <w:abstractNumId w:val="18"/>
  </w:num>
  <w:num w:numId="43">
    <w:abstractNumId w:val="19"/>
  </w:num>
  <w:num w:numId="44">
    <w:abstractNumId w:val="38"/>
  </w:num>
  <w:num w:numId="45">
    <w:abstractNumId w:val="8"/>
  </w:num>
  <w:num w:numId="46">
    <w:abstractNumId w:val="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AA"/>
    <w:rsid w:val="00011EA9"/>
    <w:rsid w:val="0005376F"/>
    <w:rsid w:val="000A0A0D"/>
    <w:rsid w:val="000B030B"/>
    <w:rsid w:val="000E28F3"/>
    <w:rsid w:val="00107F58"/>
    <w:rsid w:val="001223B1"/>
    <w:rsid w:val="001D64C0"/>
    <w:rsid w:val="002D0E82"/>
    <w:rsid w:val="003661A6"/>
    <w:rsid w:val="003A4C34"/>
    <w:rsid w:val="003C4866"/>
    <w:rsid w:val="00402EAD"/>
    <w:rsid w:val="00403304"/>
    <w:rsid w:val="004A01A5"/>
    <w:rsid w:val="004E52A3"/>
    <w:rsid w:val="00574C17"/>
    <w:rsid w:val="005D0AAA"/>
    <w:rsid w:val="007561F1"/>
    <w:rsid w:val="00787EF9"/>
    <w:rsid w:val="007D4E9F"/>
    <w:rsid w:val="008B6FC6"/>
    <w:rsid w:val="0090090D"/>
    <w:rsid w:val="009602B8"/>
    <w:rsid w:val="00AF407F"/>
    <w:rsid w:val="00B22B85"/>
    <w:rsid w:val="00B468CB"/>
    <w:rsid w:val="00BB39F6"/>
    <w:rsid w:val="00BF4870"/>
    <w:rsid w:val="00C232D6"/>
    <w:rsid w:val="00C4100C"/>
    <w:rsid w:val="00C441D3"/>
    <w:rsid w:val="00C95B20"/>
    <w:rsid w:val="00E0497E"/>
    <w:rsid w:val="00E96B7C"/>
    <w:rsid w:val="00F23358"/>
    <w:rsid w:val="00F32236"/>
    <w:rsid w:val="00F9544C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F31"/>
  <w15:chartTrackingRefBased/>
  <w15:docId w15:val="{14D1BD2D-1A56-4712-8940-7D38F44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9"/>
    <w:qFormat/>
    <w:rsid w:val="007D4E9F"/>
    <w:pPr>
      <w:keepNext/>
      <w:widowControl w:val="0"/>
      <w:numPr>
        <w:numId w:val="1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7D4E9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4E9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D4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7D4E9F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7D4E9F"/>
    <w:pPr>
      <w:keepNext/>
      <w:keepLines/>
      <w:widowControl w:val="0"/>
      <w:spacing w:before="120" w:after="240" w:line="240" w:lineRule="auto"/>
      <w:ind w:left="56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D4E9F"/>
  </w:style>
  <w:style w:type="character" w:styleId="a4">
    <w:name w:val="Hyperlink"/>
    <w:uiPriority w:val="99"/>
    <w:rsid w:val="007D4E9F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7D4E9F"/>
    <w:pPr>
      <w:numPr>
        <w:numId w:val="1"/>
      </w:numPr>
      <w:tabs>
        <w:tab w:val="clear" w:pos="822"/>
        <w:tab w:val="num" w:pos="360"/>
      </w:tabs>
      <w:spacing w:after="0" w:line="312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D4E9F"/>
    <w:pPr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rsid w:val="007D4E9F"/>
    <w:pPr>
      <w:widowControl w:val="0"/>
      <w:spacing w:after="0" w:line="264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rsid w:val="007D4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4E9F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13">
    <w:name w:val="Сетка таблицы1"/>
    <w:basedOn w:val="a2"/>
    <w:next w:val="a8"/>
    <w:uiPriority w:val="59"/>
    <w:rsid w:val="007D4E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1"/>
    <w:uiPriority w:val="99"/>
    <w:semiHidden/>
    <w:unhideWhenUsed/>
    <w:rsid w:val="007D4E9F"/>
    <w:rPr>
      <w:vertAlign w:val="superscript"/>
    </w:rPr>
  </w:style>
  <w:style w:type="paragraph" w:customStyle="1" w:styleId="Style8">
    <w:name w:val="Style8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7D4E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7D4E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D4E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писок1"/>
    <w:basedOn w:val="a3"/>
    <w:rsid w:val="007D4E9F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7D4E9F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7D4E9F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D4E9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D4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D4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D4E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rsid w:val="007D4E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7D4E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7D4E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7D4E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7D4E9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D4E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List Paragraph"/>
    <w:basedOn w:val="a0"/>
    <w:qFormat/>
    <w:rsid w:val="007D4E9F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7D4E9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rsid w:val="007D4E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7D4E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8">
    <w:name w:val="Содержимое таблицы"/>
    <w:basedOn w:val="a0"/>
    <w:rsid w:val="007D4E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9">
    <w:name w:val="Body Text"/>
    <w:basedOn w:val="a0"/>
    <w:link w:val="afa"/>
    <w:rsid w:val="007D4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1"/>
    <w:link w:val="af9"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nhideWhenUsed/>
    <w:rsid w:val="007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1"/>
    <w:rsid w:val="007D4E9F"/>
  </w:style>
  <w:style w:type="paragraph" w:styleId="22">
    <w:name w:val="Body Text Indent 2"/>
    <w:basedOn w:val="a0"/>
    <w:link w:val="23"/>
    <w:uiPriority w:val="99"/>
    <w:semiHidden/>
    <w:unhideWhenUsed/>
    <w:rsid w:val="007D4E9F"/>
    <w:pPr>
      <w:widowControl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7D4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7D4E9F"/>
  </w:style>
  <w:style w:type="paragraph" w:customStyle="1" w:styleId="14">
    <w:name w:val="Обычный1"/>
    <w:rsid w:val="007D4E9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2">
    <w:name w:val="FR2"/>
    <w:rsid w:val="007D4E9F"/>
    <w:pPr>
      <w:widowControl w:val="0"/>
      <w:spacing w:before="220" w:after="0" w:line="240" w:lineRule="auto"/>
      <w:ind w:left="200"/>
      <w:jc w:val="center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customStyle="1" w:styleId="Default">
    <w:name w:val="Default"/>
    <w:rsid w:val="007D4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basedOn w:val="a1"/>
    <w:rsid w:val="007D4E9F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7D4E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D4E9F"/>
  </w:style>
  <w:style w:type="character" w:customStyle="1" w:styleId="210">
    <w:name w:val="Заголовок 2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2"/>
    <w:uiPriority w:val="39"/>
    <w:rsid w:val="007D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7D4E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E96B7C"/>
    <w:rPr>
      <w:color w:val="954F72" w:themeColor="followedHyperlink"/>
      <w:u w:val="single"/>
    </w:rPr>
  </w:style>
  <w:style w:type="character" w:styleId="afe">
    <w:name w:val="Unresolved Mention"/>
    <w:basedOn w:val="a1"/>
    <w:uiPriority w:val="99"/>
    <w:semiHidden/>
    <w:unhideWhenUsed/>
    <w:rsid w:val="00E9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lanbook.com/book/111369" TargetMode="External"/><Relationship Id="rId18" Type="http://schemas.openxmlformats.org/officeDocument/2006/relationships/hyperlink" Target="https://e.lanbook.com/book/108673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6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1730" TargetMode="External"/><Relationship Id="rId17" Type="http://schemas.openxmlformats.org/officeDocument/2006/relationships/hyperlink" Target="https://e.lanbook.com/book/65947" TargetMode="External"/><Relationship Id="rId25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3617" TargetMode="External"/><Relationship Id="rId20" Type="http://schemas.openxmlformats.org/officeDocument/2006/relationships/hyperlink" Target="https://e.lanbook.com/book/105279" TargetMode="External"/><Relationship Id="rId29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1356" TargetMode="External"/><Relationship Id="rId24" Type="http://schemas.openxmlformats.org/officeDocument/2006/relationships/hyperlink" Target="https://newlms.magtu.ru/pluginfile.php/1646635/mod_resource/content/1/&#1052;&#1077;&#1090;&#1086;&#1076;&#1080;&#1095;&#1077;&#1089;&#1082;&#1080;&#1077;%20&#1091;&#1082;&#1072;&#1079;&#1072;&#1085;&#1080;&#1103;%20&#1087;&#1086;%20&#1087;&#1088;&#1072;&#1082;&#1090;&#1080;&#1082;&#1077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342" TargetMode="External"/><Relationship Id="rId23" Type="http://schemas.openxmlformats.org/officeDocument/2006/relationships/hyperlink" Target="https://e.lanbook.com/book/108516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025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.lanbook.com/book/108118" TargetMode="External"/><Relationship Id="rId22" Type="http://schemas.openxmlformats.org/officeDocument/2006/relationships/hyperlink" Target="https://e.lanbook.com/book/10867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98086-B0AE-0D45-9B2A-9CBFD985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20</Pages>
  <Words>6125</Words>
  <Characters>34914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sz a</cp:lastModifiedBy>
  <cp:revision>22</cp:revision>
  <dcterms:created xsi:type="dcterms:W3CDTF">2019-02-18T13:30:00Z</dcterms:created>
  <dcterms:modified xsi:type="dcterms:W3CDTF">2020-11-02T12:56:00Z</dcterms:modified>
</cp:coreProperties>
</file>