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103" w:rsidRPr="00126103" w:rsidRDefault="00126103" w:rsidP="00126103">
      <w:pPr>
        <w:widowControl/>
        <w:autoSpaceDE/>
        <w:autoSpaceDN/>
        <w:adjustRightInd/>
        <w:ind w:firstLine="0"/>
        <w:jc w:val="left"/>
      </w:pPr>
      <w:r>
        <w:rPr>
          <w:bCs/>
          <w:noProof/>
        </w:rPr>
        <w:drawing>
          <wp:inline distT="0" distB="0" distL="0" distR="0">
            <wp:extent cx="5940425" cy="8513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F27" w:rsidRPr="00425D92">
        <w:rPr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103">
        <w:lastRenderedPageBreak/>
        <w:fldChar w:fldCharType="begin"/>
      </w:r>
      <w:r w:rsidRPr="00126103">
        <w:instrText xml:space="preserve"> INCLUDEPICTURE "/var/folders/kt/q6pmlrvj6hz3r6jmh0h3lwrm0000gn/T/com.microsoft.Word/WebArchiveCopyPasteTempFiles/page1image25829296" \* MERGEFORMATINET </w:instrText>
      </w:r>
      <w:r w:rsidRPr="00126103">
        <w:fldChar w:fldCharType="separate"/>
      </w:r>
      <w:r w:rsidR="00EF384C" w:rsidRPr="001261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5829296" style="width:453.9pt;height:642.8pt;mso-width-percent:0;mso-height-percent:0;mso-width-percent:0;mso-height-percent:0">
            <v:imagedata r:id="rId14" r:href="rId15"/>
          </v:shape>
        </w:pict>
      </w:r>
      <w:r w:rsidRPr="00126103">
        <w:fldChar w:fldCharType="end"/>
      </w:r>
    </w:p>
    <w:p w:rsidR="007754E4" w:rsidRPr="000B374F" w:rsidRDefault="002773CC" w:rsidP="00126103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</w:t>
            </w:r>
            <w:r w:rsidRPr="00455092">
              <w:rPr>
                <w:b/>
              </w:rPr>
              <w:lastRenderedPageBreak/>
              <w:t>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рациональному и комплексному освоению георесурсного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D25CA6" w:rsidP="002B411E">
            <w:pPr>
              <w:ind w:firstLine="0"/>
              <w:jc w:val="left"/>
            </w:pPr>
            <w: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D25CA6" w:rsidP="00F82D32">
            <w:pPr>
              <w:ind w:firstLine="0"/>
              <w:rPr>
                <w:bCs/>
              </w:rPr>
            </w:pPr>
            <w: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126103" w:rsidRPr="00126103">
        <w:rPr>
          <w:rStyle w:val="FontStyle18"/>
          <w:b w:val="0"/>
          <w:sz w:val="24"/>
          <w:szCs w:val="24"/>
        </w:rPr>
        <w:t>4</w:t>
      </w:r>
      <w:r w:rsidR="00126103">
        <w:rPr>
          <w:rStyle w:val="FontStyle18"/>
          <w:b w:val="0"/>
          <w:sz w:val="24"/>
          <w:szCs w:val="24"/>
        </w:rPr>
        <w:t>,7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26103">
        <w:rPr>
          <w:rStyle w:val="FontStyle18"/>
          <w:b w:val="0"/>
          <w:sz w:val="24"/>
          <w:szCs w:val="24"/>
        </w:rPr>
        <w:t>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6F48">
        <w:rPr>
          <w:rStyle w:val="FontStyle18"/>
          <w:b w:val="0"/>
          <w:sz w:val="24"/>
          <w:szCs w:val="24"/>
        </w:rPr>
        <w:t>0,</w:t>
      </w:r>
      <w:r w:rsidR="00126103">
        <w:rPr>
          <w:rStyle w:val="FontStyle18"/>
          <w:b w:val="0"/>
          <w:sz w:val="24"/>
          <w:szCs w:val="24"/>
        </w:rPr>
        <w:t>7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6F48">
        <w:rPr>
          <w:rStyle w:val="FontStyle18"/>
          <w:b w:val="0"/>
          <w:sz w:val="24"/>
          <w:szCs w:val="24"/>
        </w:rPr>
        <w:t>2</w:t>
      </w:r>
      <w:r w:rsidR="00126103">
        <w:rPr>
          <w:rStyle w:val="FontStyle18"/>
          <w:b w:val="0"/>
          <w:sz w:val="24"/>
          <w:szCs w:val="24"/>
        </w:rPr>
        <w:t>7,4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6F48" w:rsidRPr="00581A43" w:rsidRDefault="00C46F48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Контроль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3,9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C46F48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</w:t>
            </w:r>
            <w:r w:rsidRPr="00D04AF8">
              <w:lastRenderedPageBreak/>
              <w:t>ения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810CAF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ПК-1- зув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ПК-1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ПК-3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ПСК-4.1</w:t>
            </w:r>
          </w:p>
          <w:p w:rsidR="00D25CA6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  <w:r w:rsidRPr="00017B5D">
              <w:rPr>
                <w:rStyle w:val="FontStyle16"/>
              </w:rPr>
              <w:t>ПСК-4.4- зув</w:t>
            </w: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обеспечение </w:t>
            </w:r>
            <w:r>
              <w:t xml:space="preserve">.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126103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1" w:type="pct"/>
            <w:vAlign w:val="center"/>
          </w:tcPr>
          <w:p w:rsidR="00D25CA6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C46F4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126103" w:rsidP="00E67A3A">
            <w:pPr>
              <w:ind w:firstLine="0"/>
              <w:jc w:val="center"/>
            </w:pPr>
            <w:r>
              <w:t>4</w:t>
            </w:r>
          </w:p>
        </w:tc>
        <w:tc>
          <w:tcPr>
            <w:tcW w:w="171" w:type="pct"/>
            <w:vAlign w:val="center"/>
          </w:tcPr>
          <w:p w:rsidR="00DD4CDA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126103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ПК-1- зув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12610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C46F4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26103">
              <w:rPr>
                <w:b/>
                <w:i/>
              </w:rPr>
              <w:t>7,4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12610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Default="00437CE4" w:rsidP="00327876"/>
    <w:p w:rsidR="00126103" w:rsidRPr="00C17915" w:rsidRDefault="00126103" w:rsidP="0012610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126103" w:rsidRPr="009E709A" w:rsidRDefault="00126103" w:rsidP="00126103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126103" w:rsidRDefault="00126103" w:rsidP="00126103">
      <w:pPr>
        <w:spacing w:line="276" w:lineRule="auto"/>
        <w:jc w:val="left"/>
      </w:pPr>
    </w:p>
    <w:p w:rsidR="00126103" w:rsidRPr="00B7471F" w:rsidRDefault="00126103" w:rsidP="00126103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разведка месторождения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Геологическая документация 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>горных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выработок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126103" w:rsidRPr="00A03C22" w:rsidRDefault="00126103" w:rsidP="00EF384C">
      <w:pPr>
        <w:pStyle w:val="af4"/>
        <w:numPr>
          <w:ilvl w:val="0"/>
          <w:numId w:val="12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126103" w:rsidRDefault="00126103" w:rsidP="00126103">
      <w:pPr>
        <w:rPr>
          <w:rStyle w:val="FontStyle31"/>
          <w:rFonts w:ascii="Times New Roman" w:hAnsi="Times New Roman"/>
          <w:sz w:val="24"/>
          <w:szCs w:val="24"/>
        </w:rPr>
        <w:sectPr w:rsidR="00126103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26103" w:rsidRPr="005B1EAE" w:rsidRDefault="00126103" w:rsidP="00126103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26103" w:rsidRPr="001F74FD" w:rsidRDefault="00126103" w:rsidP="00126103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7167"/>
      </w:tblGrid>
      <w:tr w:rsidR="00126103" w:rsidRPr="00772E51" w:rsidTr="00D122CD">
        <w:trPr>
          <w:tblHeader/>
        </w:trPr>
        <w:tc>
          <w:tcPr>
            <w:tcW w:w="2660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126103" w:rsidRPr="001F74FD" w:rsidRDefault="00126103" w:rsidP="00D122CD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26103" w:rsidRPr="00994586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sz w:val="28"/>
                <w:szCs w:val="28"/>
                <w:lang w:val="ru-RU"/>
              </w:rPr>
              <w:t xml:space="preserve">Цели и задачи </w:t>
            </w:r>
            <w:r>
              <w:rPr>
                <w:bCs/>
                <w:sz w:val="28"/>
                <w:szCs w:val="28"/>
                <w:lang w:val="ru-RU"/>
              </w:rPr>
              <w:t xml:space="preserve">горнопромышленной </w:t>
            </w:r>
            <w:r w:rsidRPr="00994586">
              <w:rPr>
                <w:bCs/>
                <w:sz w:val="28"/>
                <w:szCs w:val="28"/>
                <w:lang w:val="ru-RU"/>
              </w:rPr>
              <w:t xml:space="preserve"> геологии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Промышленная и генетическая классификации месторождений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стадии геологоразведочных работ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Предварительная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разведка месторождения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Прогнозные ресурсы и их использование</w:t>
            </w:r>
          </w:p>
          <w:p w:rsidR="00126103" w:rsidRPr="003D192E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Детальная разведка месторождений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Эксплуатационная разведка</w:t>
            </w:r>
          </w:p>
          <w:p w:rsidR="00126103" w:rsidRPr="005171FB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запасов по степени изученности</w:t>
            </w:r>
          </w:p>
          <w:p w:rsidR="00126103" w:rsidRPr="001850D6" w:rsidRDefault="00126103" w:rsidP="00EF384C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994586">
              <w:rPr>
                <w:bCs/>
                <w:iCs/>
                <w:spacing w:val="-2"/>
                <w:sz w:val="28"/>
                <w:szCs w:val="28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Pr="00915C2D" w:rsidRDefault="00126103" w:rsidP="00EF384C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126103" w:rsidRPr="00915C2D" w:rsidRDefault="00126103" w:rsidP="00D122CD">
            <w:pPr>
              <w:rPr>
                <w:b/>
              </w:rPr>
            </w:pPr>
            <w:r>
              <w:t xml:space="preserve">Произвести подсчет запасов месторождения полезных ископаемых несколькими методами. </w:t>
            </w:r>
            <w:r w:rsidRPr="0037538A">
              <w:t>Геометризация складчатого залегания</w:t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126103" w:rsidRPr="00772E51" w:rsidTr="00D122CD">
        <w:trPr>
          <w:trHeight w:val="700"/>
        </w:trPr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A03C22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Бортовое содержание полезных компонентов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метро-процент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коэффициент рудоносности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126103" w:rsidRPr="001850D6" w:rsidRDefault="00126103" w:rsidP="00EF384C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r w:rsidRPr="00A03C22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t>Уметь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комплексному освоению георесурсного потенциала недр</w:t>
            </w:r>
          </w:p>
        </w:tc>
        <w:tc>
          <w:tcPr>
            <w:tcW w:w="7167" w:type="dxa"/>
          </w:tcPr>
          <w:p w:rsidR="00126103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126103" w:rsidRPr="0037538A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26103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>Геометризация дизъюнктивов. Эпюры дизъюнктива. Поиски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126103" w:rsidRPr="001850D6" w:rsidRDefault="00126103" w:rsidP="00EF384C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Доразведка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эксплуатационной разведки</w:t>
            </w:r>
          </w:p>
        </w:tc>
        <w:tc>
          <w:tcPr>
            <w:tcW w:w="7167" w:type="dxa"/>
          </w:tcPr>
          <w:p w:rsidR="00126103" w:rsidRPr="00B1313B" w:rsidRDefault="00126103" w:rsidP="00D122CD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126103" w:rsidRPr="001850D6" w:rsidRDefault="00126103" w:rsidP="00EF384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14788" w:type="dxa"/>
            <w:gridSpan w:val="3"/>
          </w:tcPr>
          <w:p w:rsidR="00126103" w:rsidRPr="00915C2D" w:rsidRDefault="00126103" w:rsidP="00D122CD">
            <w:pPr>
              <w:ind w:firstLine="0"/>
              <w:jc w:val="left"/>
              <w:rPr>
                <w:b/>
              </w:rPr>
            </w:pPr>
            <w:r w:rsidRPr="00915C2D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126103" w:rsidRPr="00915C2D" w:rsidRDefault="00126103" w:rsidP="00D122CD">
            <w:pPr>
              <w:ind w:firstLine="0"/>
              <w:rPr>
                <w:bCs/>
              </w:rPr>
            </w:pPr>
            <w:r w:rsidRPr="00915C2D">
              <w:t>Этапы и стадии геологоразведочных работ, прогнозные ресурсы полезных ископаемых, классификацию запасов по степени изучен</w:t>
            </w:r>
            <w:r w:rsidRPr="00915C2D">
              <w:lastRenderedPageBreak/>
              <w:t>ности</w:t>
            </w:r>
          </w:p>
        </w:tc>
        <w:tc>
          <w:tcPr>
            <w:tcW w:w="7167" w:type="dxa"/>
          </w:tcPr>
          <w:p w:rsidR="00126103" w:rsidRPr="00A03C22" w:rsidRDefault="00126103" w:rsidP="00D122CD">
            <w:pPr>
              <w:ind w:firstLine="0"/>
              <w:rPr>
                <w:b/>
              </w:rPr>
            </w:pPr>
            <w:r w:rsidRPr="00A03C22">
              <w:rPr>
                <w:b/>
              </w:rPr>
              <w:lastRenderedPageBreak/>
              <w:t>Примерный перечень вопросов к зачету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Степень разведанности месторождений, передаваемых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lastRenderedPageBreak/>
              <w:t>Плотность разведочной сети в ходе предварительной и детальной разведке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Методы подсчета запасов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Геологическая документация 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>горных</w:t>
            </w:r>
            <w:r w:rsidRPr="00A03C22">
              <w:rPr>
                <w:bCs/>
                <w:szCs w:val="24"/>
                <w:lang w:val="ru-RU"/>
              </w:rPr>
              <w:t xml:space="preserve"> </w:t>
            </w:r>
            <w:r w:rsidRPr="00A03C22">
              <w:rPr>
                <w:bCs/>
                <w:szCs w:val="24"/>
              </w:rPr>
              <w:t xml:space="preserve"> выработок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Камеральная обработка полевой документации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Отбор и подготовка проб 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Представительность и плотность сети опробования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Косвенные методы опробования</w:t>
            </w:r>
          </w:p>
          <w:p w:rsidR="00126103" w:rsidRPr="00A03C22" w:rsidRDefault="00126103" w:rsidP="00EF384C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Геолого-технологическое картирование</w:t>
            </w:r>
          </w:p>
          <w:p w:rsidR="00126103" w:rsidRPr="00A03C22" w:rsidRDefault="00126103" w:rsidP="00D122CD">
            <w:pPr>
              <w:ind w:left="77" w:firstLine="0"/>
            </w:pP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  <w:tc>
          <w:tcPr>
            <w:tcW w:w="7167" w:type="dxa"/>
          </w:tcPr>
          <w:p w:rsidR="00126103" w:rsidRPr="00A03C22" w:rsidRDefault="00126103" w:rsidP="00D122CD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Доразведка (задача 34) </w:t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126103" w:rsidRPr="00772E51" w:rsidTr="00D122CD">
        <w:tc>
          <w:tcPr>
            <w:tcW w:w="2660" w:type="dxa"/>
          </w:tcPr>
          <w:p w:rsidR="00126103" w:rsidRPr="00915C2D" w:rsidRDefault="00126103" w:rsidP="00D122C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126103" w:rsidRPr="00915C2D" w:rsidRDefault="00126103" w:rsidP="00D122CD">
            <w:pPr>
              <w:ind w:firstLine="0"/>
              <w:rPr>
                <w:bCs/>
              </w:rPr>
            </w:pPr>
            <w:r w:rsidRPr="00915C2D"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  <w:tc>
          <w:tcPr>
            <w:tcW w:w="7167" w:type="dxa"/>
          </w:tcPr>
          <w:p w:rsidR="00126103" w:rsidRPr="00B1313B" w:rsidRDefault="00126103" w:rsidP="00D122CD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126103" w:rsidRPr="00A03C22" w:rsidRDefault="00126103" w:rsidP="00EF384C">
            <w:pPr>
              <w:pStyle w:val="3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</w:tc>
      </w:tr>
    </w:tbl>
    <w:p w:rsidR="00126103" w:rsidRDefault="00126103" w:rsidP="00126103">
      <w:pPr>
        <w:rPr>
          <w:rStyle w:val="FontStyle31"/>
          <w:rFonts w:ascii="Times New Roman" w:hAnsi="Times New Roman"/>
          <w:sz w:val="24"/>
          <w:szCs w:val="24"/>
        </w:rPr>
        <w:sectPr w:rsidR="00126103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26103" w:rsidRDefault="00126103" w:rsidP="00126103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26103" w:rsidRDefault="00126103" w:rsidP="00126103">
      <w:pPr>
        <w:rPr>
          <w:b/>
        </w:rPr>
      </w:pPr>
    </w:p>
    <w:p w:rsidR="00126103" w:rsidRPr="00F36078" w:rsidRDefault="00126103" w:rsidP="0012610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126103" w:rsidRPr="007D79B5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Горнопромышленная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126103" w:rsidRPr="007D79B5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126103" w:rsidRDefault="00126103" w:rsidP="00126103">
      <w:r w:rsidRPr="00F36078">
        <w:t>Промежуточная аттестация по дисциплине «</w:t>
      </w:r>
      <w:r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F36078">
        <w:t>.</w:t>
      </w:r>
    </w:p>
    <w:p w:rsidR="00126103" w:rsidRPr="00D20925" w:rsidRDefault="00126103" w:rsidP="00126103">
      <w:r w:rsidRPr="00D20925">
        <w:t>Зачет по данной дисциплине проводится в устн</w:t>
      </w:r>
      <w:r>
        <w:t>ой форме по теоретическим вопро</w:t>
      </w:r>
      <w:r w:rsidRPr="00D20925">
        <w:t xml:space="preserve">сам. </w:t>
      </w:r>
    </w:p>
    <w:p w:rsidR="00126103" w:rsidRPr="00D20925" w:rsidRDefault="00126103" w:rsidP="00126103">
      <w:r w:rsidRPr="00D20925">
        <w:rPr>
          <w:b/>
          <w:bCs/>
        </w:rPr>
        <w:t xml:space="preserve">Показатели и критерии оценивания зачета: </w:t>
      </w:r>
    </w:p>
    <w:p w:rsidR="00126103" w:rsidRPr="00D20925" w:rsidRDefault="00126103" w:rsidP="00126103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126103" w:rsidRPr="00F36078" w:rsidRDefault="00126103" w:rsidP="0012610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интеллекту</w:t>
      </w:r>
      <w:r w:rsidRPr="00D20925">
        <w:t xml:space="preserve">альные навыки выполнения простых заданий. </w:t>
      </w:r>
    </w:p>
    <w:p w:rsidR="00126103" w:rsidRDefault="00126103" w:rsidP="0012610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126103" w:rsidRPr="00994586" w:rsidRDefault="00126103" w:rsidP="00126103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разведка месторождения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lastRenderedPageBreak/>
        <w:t xml:space="preserve">Геологическая документация 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>горных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выработок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126103" w:rsidRPr="00A03C22" w:rsidRDefault="00126103" w:rsidP="00EF384C">
      <w:pPr>
        <w:pStyle w:val="af4"/>
        <w:numPr>
          <w:ilvl w:val="0"/>
          <w:numId w:val="11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126103" w:rsidRPr="00455FFD" w:rsidRDefault="00126103" w:rsidP="00126103">
      <w:pPr>
        <w:rPr>
          <w:b/>
        </w:rPr>
      </w:pPr>
    </w:p>
    <w:p w:rsidR="00126103" w:rsidRPr="000B374F" w:rsidRDefault="00126103" w:rsidP="0012610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26103" w:rsidRPr="000F5322" w:rsidRDefault="00126103" w:rsidP="00126103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126103" w:rsidRPr="00F66E77" w:rsidRDefault="00126103" w:rsidP="00EF384C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5-211-04961-6 ;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8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r w:rsidRPr="00951858">
          <w:rPr>
            <w:rStyle w:val="af6"/>
            <w:sz w:val="24"/>
            <w:szCs w:val="24"/>
            <w:lang w:val="en-US"/>
          </w:rPr>
          <w:t>bibliodub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126103" w:rsidRPr="00F66E77" w:rsidRDefault="00126103" w:rsidP="00EF384C">
      <w:pPr>
        <w:numPr>
          <w:ilvl w:val="0"/>
          <w:numId w:val="14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>Инженерная геология России [Текст]. Т. 2. Инженерная геодинамика территории России / Московский гос. Ун-т им. М. В. Ломоносова. Геологический факультет ; под общ. Ред. В. Т. Трофимова; ред. Тома: В. Т. Трофимов, Э. В. Калинин. - Москва : Книжный дом "Университет", 2013. - 815 с.</w:t>
      </w:r>
    </w:p>
    <w:p w:rsidR="00126103" w:rsidRPr="00F66E77" w:rsidRDefault="00126103" w:rsidP="00126103">
      <w:pPr>
        <w:spacing w:after="120"/>
      </w:pPr>
    </w:p>
    <w:p w:rsidR="00126103" w:rsidRPr="0049420F" w:rsidRDefault="00126103" w:rsidP="00126103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126103" w:rsidRPr="00F66E77" w:rsidRDefault="00126103" w:rsidP="00EF384C">
      <w:pPr>
        <w:pStyle w:val="5"/>
        <w:numPr>
          <w:ilvl w:val="0"/>
          <w:numId w:val="13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ресурс] / И.А. Карлович. - 4-е изд., испр. - М. :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9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t xml:space="preserve">Милютин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126103" w:rsidRPr="00F66E77" w:rsidRDefault="00126103" w:rsidP="00EF384C">
      <w:pPr>
        <w:pStyle w:val="af7"/>
        <w:numPr>
          <w:ilvl w:val="0"/>
          <w:numId w:val="1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htt//www.magtu.ru// htt://e.lanbook.com/</w:t>
      </w:r>
    </w:p>
    <w:p w:rsidR="00126103" w:rsidRPr="00F66E77" w:rsidRDefault="00126103" w:rsidP="00126103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126103" w:rsidRPr="0049420F" w:rsidRDefault="00126103" w:rsidP="00126103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126103" w:rsidRPr="0049420F" w:rsidRDefault="00126103" w:rsidP="00126103">
      <w:pPr>
        <w:widowControl/>
        <w:autoSpaceDE/>
        <w:autoSpaceDN/>
        <w:adjustRightInd/>
      </w:pPr>
      <w:r w:rsidRPr="0049420F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126103" w:rsidRPr="0049420F" w:rsidRDefault="00126103" w:rsidP="00126103">
      <w:pPr>
        <w:widowControl/>
        <w:autoSpaceDE/>
        <w:autoSpaceDN/>
        <w:adjustRightInd/>
      </w:pPr>
      <w:r w:rsidRPr="0049420F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1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126103" w:rsidRPr="00994586" w:rsidRDefault="00126103" w:rsidP="00126103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126103" w:rsidRPr="008A5D88" w:rsidRDefault="00126103" w:rsidP="0012610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6103" w:rsidRPr="00CA2014" w:rsidRDefault="00126103" w:rsidP="00126103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26103" w:rsidRPr="00CA2014" w:rsidRDefault="00126103" w:rsidP="00126103">
      <w:pPr>
        <w:jc w:val="left"/>
      </w:pPr>
      <w:r w:rsidRPr="00CA2014">
        <w:t>Интернет-ресурсы:</w:t>
      </w:r>
    </w:p>
    <w:p w:rsidR="00126103" w:rsidRPr="00CA2014" w:rsidRDefault="00126103" w:rsidP="00126103">
      <w:pPr>
        <w:widowControl/>
      </w:pPr>
      <w:r w:rsidRPr="00CA2014">
        <w:lastRenderedPageBreak/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2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126103" w:rsidRPr="00CA2014" w:rsidRDefault="00126103" w:rsidP="00126103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5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26103" w:rsidRPr="00CA2014" w:rsidRDefault="00126103" w:rsidP="00126103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126103" w:rsidRPr="00CA2014" w:rsidRDefault="00126103" w:rsidP="00126103">
      <w:pPr>
        <w:widowControl/>
      </w:pPr>
    </w:p>
    <w:p w:rsidR="00126103" w:rsidRPr="00CA2014" w:rsidRDefault="00126103" w:rsidP="00126103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26103" w:rsidRPr="00AD3E67" w:rsidTr="00D122CD">
        <w:trPr>
          <w:trHeight w:val="285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126103" w:rsidRPr="00AD3E67" w:rsidTr="00D122CD">
        <w:trPr>
          <w:trHeight w:val="285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Д-1227 от 08.10.2018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Д-757-17 от 27.06.2017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11.10.2021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27.07.2018</w:t>
            </w:r>
          </w:p>
        </w:tc>
      </w:tr>
      <w:tr w:rsidR="00126103" w:rsidRPr="00AD3E67" w:rsidTr="00D122CD">
        <w:trPr>
          <w:trHeight w:val="272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rPr>
                <w:lang w:val="en-US"/>
              </w:rPr>
              <w:t>MS</w:t>
            </w:r>
            <w:r w:rsidRPr="00AD3E67">
              <w:t xml:space="preserve"> </w:t>
            </w:r>
            <w:r w:rsidRPr="00AD3E6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  <w:jc w:val="left"/>
            </w:pPr>
            <w:r w:rsidRPr="00AD3E67">
              <w:t>бессрочно</w:t>
            </w:r>
          </w:p>
        </w:tc>
      </w:tr>
      <w:tr w:rsidR="00126103" w:rsidRPr="00AD3E67" w:rsidTr="00D122CD">
        <w:trPr>
          <w:trHeight w:val="297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 xml:space="preserve">Kaspersky Endpoint Security </w:t>
            </w:r>
            <w:r w:rsidRPr="00AD3E67">
              <w:t>для</w:t>
            </w:r>
            <w:r w:rsidRPr="00AD3E67">
              <w:rPr>
                <w:lang w:val="en-US"/>
              </w:rPr>
              <w:t xml:space="preserve"> </w:t>
            </w:r>
            <w:r w:rsidRPr="00AD3E67">
              <w:t>бизнеса - Стандартный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Д-300-18 от 31.03.2018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Д-1347-17 от 20.12.2017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Д-1481-16 от 25.11.2016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28.01.2020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21.03.2018</w:t>
            </w:r>
          </w:p>
          <w:p w:rsidR="00126103" w:rsidRPr="00AD3E67" w:rsidRDefault="00126103" w:rsidP="00D122CD">
            <w:pPr>
              <w:widowControl/>
              <w:ind w:firstLine="0"/>
            </w:pPr>
            <w:r w:rsidRPr="00AD3E67">
              <w:t>25.12.2017</w:t>
            </w:r>
          </w:p>
        </w:tc>
      </w:tr>
      <w:tr w:rsidR="00126103" w:rsidRPr="00AD3E67" w:rsidTr="00D122CD">
        <w:trPr>
          <w:trHeight w:val="297"/>
        </w:trPr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3222" w:type="dxa"/>
          </w:tcPr>
          <w:p w:rsidR="00126103" w:rsidRPr="00AD3E67" w:rsidRDefault="00126103" w:rsidP="00D122CD">
            <w:pPr>
              <w:widowControl/>
              <w:ind w:firstLine="0"/>
            </w:pPr>
            <w:r w:rsidRPr="00AD3E67">
              <w:t>бессрочно</w:t>
            </w:r>
          </w:p>
        </w:tc>
      </w:tr>
    </w:tbl>
    <w:p w:rsidR="00126103" w:rsidRPr="00CA2014" w:rsidRDefault="00126103" w:rsidP="00126103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126103" w:rsidRPr="00CA2014" w:rsidRDefault="00126103" w:rsidP="00126103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26103" w:rsidRDefault="00126103" w:rsidP="00126103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126103" w:rsidRPr="0089591C" w:rsidTr="00D122CD">
        <w:trPr>
          <w:tblHeader/>
        </w:trPr>
        <w:tc>
          <w:tcPr>
            <w:tcW w:w="1928" w:type="pct"/>
            <w:vAlign w:val="center"/>
          </w:tcPr>
          <w:p w:rsidR="00126103" w:rsidRPr="0089591C" w:rsidRDefault="00126103" w:rsidP="00D122CD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26103" w:rsidRPr="0089591C" w:rsidRDefault="00126103" w:rsidP="00D122CD">
            <w:pPr>
              <w:jc w:val="center"/>
            </w:pPr>
            <w:r w:rsidRPr="0089591C">
              <w:t>Оснащение аудитории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музее  МГТУ.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Шкала твердости Мооса в ящичках.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Геологический компас.</w:t>
            </w:r>
          </w:p>
          <w:p w:rsidR="00126103" w:rsidRPr="0089591C" w:rsidRDefault="00126103" w:rsidP="00D122CD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126103" w:rsidRPr="0089591C" w:rsidRDefault="00126103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26103" w:rsidRPr="0089591C" w:rsidTr="00D122CD">
        <w:tc>
          <w:tcPr>
            <w:tcW w:w="1928" w:type="pct"/>
          </w:tcPr>
          <w:p w:rsidR="00126103" w:rsidRPr="0089591C" w:rsidRDefault="00126103" w:rsidP="00D122CD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26103" w:rsidRPr="0089591C" w:rsidRDefault="00126103" w:rsidP="00D122CD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26103" w:rsidRDefault="00126103" w:rsidP="00126103">
      <w:pPr>
        <w:keepNext/>
        <w:autoSpaceDE/>
        <w:autoSpaceDN/>
        <w:adjustRightInd/>
        <w:outlineLvl w:val="0"/>
        <w:rPr>
          <w:iCs/>
        </w:rPr>
      </w:pPr>
    </w:p>
    <w:p w:rsidR="00126103" w:rsidRPr="000B374F" w:rsidRDefault="00126103" w:rsidP="00126103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126103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84C" w:rsidRDefault="00EF384C">
      <w:r>
        <w:separator/>
      </w:r>
    </w:p>
  </w:endnote>
  <w:endnote w:type="continuationSeparator" w:id="0">
    <w:p w:rsidR="00EF384C" w:rsidRDefault="00EF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586" w:rsidRDefault="009945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3F2">
      <w:rPr>
        <w:rStyle w:val="a4"/>
        <w:noProof/>
      </w:rPr>
      <w:t>4</w:t>
    </w:r>
    <w:r>
      <w:rPr>
        <w:rStyle w:val="a4"/>
      </w:rPr>
      <w:fldChar w:fldCharType="end"/>
    </w:r>
  </w:p>
  <w:p w:rsidR="00994586" w:rsidRDefault="009945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84C" w:rsidRDefault="00EF384C">
      <w:r>
        <w:separator/>
      </w:r>
    </w:p>
  </w:footnote>
  <w:footnote w:type="continuationSeparator" w:id="0">
    <w:p w:rsidR="00EF384C" w:rsidRDefault="00EF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10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EF384C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E079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77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yperlink" Target="http://education.polpr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10810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5829296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biblioclub.ru/index.php?page=book&amp;id=21108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education.polpred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790B09-F494-412C-B29F-CDDFE525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28728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3</cp:revision>
  <cp:lastPrinted>2018-11-05T16:58:00Z</cp:lastPrinted>
  <dcterms:created xsi:type="dcterms:W3CDTF">2020-10-08T08:03:00Z</dcterms:created>
  <dcterms:modified xsi:type="dcterms:W3CDTF">2020-11-02T12:41:00Z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