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F4" w:rsidRDefault="002644C9">
      <w:pPr>
        <w:rPr>
          <w:sz w:val="0"/>
          <w:szCs w:val="0"/>
        </w:rPr>
      </w:pPr>
      <w:r w:rsidRPr="002644C9">
        <w:rPr>
          <w:noProof/>
          <w:lang w:val="ru-RU" w:eastAsia="ru-RU"/>
        </w:rPr>
        <w:drawing>
          <wp:inline distT="0" distB="0" distL="0" distR="0">
            <wp:extent cx="5941060" cy="8135506"/>
            <wp:effectExtent l="19050" t="0" r="2540" b="0"/>
            <wp:docPr id="16" name="Рисунок 16" descr="C:\Users\user\Desktop\Лычагина\1\100503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Лычагина\1\100503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4C9">
        <w:rPr>
          <w:noProof/>
          <w:lang w:val="ru-RU" w:eastAsia="ru-RU"/>
        </w:rPr>
        <w:lastRenderedPageBreak/>
        <w:drawing>
          <wp:inline distT="0" distB="0" distL="0" distR="0">
            <wp:extent cx="5941060" cy="8136506"/>
            <wp:effectExtent l="19050" t="0" r="2540" b="0"/>
            <wp:docPr id="15" name="Рисунок 15" descr="C:\Users\user\Desktop\Лычагина\1\100503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Лычагина\1\100503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4C9">
        <w:rPr>
          <w:noProof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19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 w:rsidRPr="00800E7A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 w:rsidRPr="00800E7A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138"/>
        </w:trPr>
        <w:tc>
          <w:tcPr>
            <w:tcW w:w="9357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437FF4" w:rsidRPr="00800E7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</w:tbl>
    <w:p w:rsidR="00437FF4" w:rsidRDefault="003B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437FF4" w:rsidRPr="00800E7A" w:rsidTr="002644C9">
        <w:trPr>
          <w:trHeight w:hRule="exact" w:val="3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 w:rsidP="00EA32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644C9">
              <w:rPr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138"/>
        </w:trPr>
        <w:tc>
          <w:tcPr>
            <w:tcW w:w="1985" w:type="dxa"/>
          </w:tcPr>
          <w:p w:rsidR="00437FF4" w:rsidRDefault="00437FF4"/>
        </w:tc>
        <w:tc>
          <w:tcPr>
            <w:tcW w:w="7372" w:type="dxa"/>
          </w:tcPr>
          <w:p w:rsidR="00437FF4" w:rsidRDefault="00437FF4"/>
        </w:tc>
      </w:tr>
      <w:tr w:rsidR="00437FF4" w:rsidRPr="00800E7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37FF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437FF4"/>
        </w:tc>
        <w:tc>
          <w:tcPr>
            <w:tcW w:w="7372" w:type="dxa"/>
          </w:tcPr>
          <w:p w:rsidR="00437FF4" w:rsidRDefault="00437FF4"/>
        </w:tc>
      </w:tr>
      <w:tr w:rsidR="00437FF4" w:rsidRPr="00800E7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437FF4" w:rsidRPr="00800E7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физические явления и процессы, имеющие отношение к профессиональной деятельности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Физические основы функционирования систем обработки и передачи информации.</w:t>
            </w:r>
          </w:p>
        </w:tc>
      </w:tr>
      <w:tr w:rsidR="00437FF4" w:rsidRPr="00800E7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возможности применения теоретических положений и методов математических дисциплин для постановки и решения конкретных прикладных задач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физические явления и процессы формализации и решения профессиональных задач</w:t>
            </w:r>
          </w:p>
        </w:tc>
      </w:tr>
      <w:tr w:rsidR="00437FF4" w:rsidRPr="00800E7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математической формализации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физических явлений и процессов при решении профессиональных задач</w:t>
            </w:r>
          </w:p>
          <w:p w:rsidR="00437FF4" w:rsidRPr="002644C9" w:rsidRDefault="003B19D6" w:rsidP="00EA32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анализа физических явлений и процессов для формализации и решения профессиональных задач</w:t>
            </w:r>
          </w:p>
        </w:tc>
      </w:tr>
      <w:tr w:rsidR="00437FF4" w:rsidRPr="00800E7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437FF4" w:rsidRPr="00800E7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B5734" w:rsidRPr="00EA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  <w:r w:rsid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программирования высокого уровня (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 ориентированное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Показатели качества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тестирования и отладки программного обеспечения в соответствии с современными технологиями и методами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документирования разработки, процесса сопровождения программного обеспечения.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 w:rsidRPr="00800E7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интегрированной средой разработки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основные структуры данных и базовые алгоритмы средствами языков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комплексное тестирование и отладку программных систем;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и кодировать алгоритмы с соблюдением требований к качественному стилю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выбор эффективных </w:t>
            </w:r>
            <w:r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способов </w:t>
            </w:r>
            <w:r w:rsidR="00EA3223"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  <w:r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разработку сложного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требования и разрабатывать внешние спецификации для разрабатываемого программного обеспечения; автоматизированных систем;</w:t>
            </w:r>
          </w:p>
        </w:tc>
      </w:tr>
      <w:tr w:rsidR="00437FF4" w:rsidRPr="00800E7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различными стилями.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программной документации.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с использованием эффективных реализаций структур данных и алгоритмов.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437FF4" w:rsidRPr="00800E7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</w:t>
            </w:r>
          </w:p>
        </w:tc>
      </w:tr>
      <w:tr w:rsidR="00437FF4" w:rsidRPr="00800E7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понятия информатики;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способы хранения, обработки и передачи информации;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Основы технологии поиска в современных информационно- поисковых системах;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Значение информации в развитии современного общества.</w:t>
            </w:r>
          </w:p>
        </w:tc>
      </w:tr>
      <w:tr w:rsidR="00437FF4" w:rsidRPr="00800E7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Пользоваться сетевыми средствами для обмена данными, с использованием глобальной информационной сети Интернет;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функции офисных приложений для организации поиска информации по заданным критериям;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437FF4" w:rsidRPr="00800E7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современных информационных технологий  для поиска информации в компьютерных системах, сетях, библиотечных фондах при решении профессиональных задач;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запросов для организации поиска информации в компьютерных системах, сетях, библиотечных фондах.</w:t>
            </w:r>
          </w:p>
        </w:tc>
      </w:tr>
      <w:tr w:rsidR="00437FF4" w:rsidRPr="00800E7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 w:rsidRPr="00800E7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построения и функционирования, примеры реализаций современных операционных систем;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работы элементов и функциональных узлов электронной аппаратуры;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типовые схемотехнические решения основных узлов и блоков электронной аппаратуры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адресации в вычислительных сетях;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межсетевого взаимодействия и межсетевой передачи информации</w:t>
            </w:r>
          </w:p>
        </w:tc>
      </w:tr>
      <w:tr w:rsidR="00437FF4" w:rsidRPr="00800E7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типовые программные средства сервисного назначения (средства восстановления системы после сбоев, очистки и дефрагментации диска);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работать с современной элементной базой электронной аппаратуры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требуемое сетевое и телекоммуникационное оборудование, необходимое для организации вычислительной сети с требуемыми характеристиками</w:t>
            </w:r>
          </w:p>
        </w:tc>
      </w:tr>
      <w:tr w:rsidR="00437FF4" w:rsidRPr="00800E7A" w:rsidTr="00A4350E">
        <w:trPr>
          <w:trHeight w:hRule="exact" w:val="20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Профессиональным языком и терминологией предметной области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Современным сетевым оборудованием и программным обеспечением, предназначенным для построения вычислительных сетей</w:t>
            </w:r>
          </w:p>
        </w:tc>
      </w:tr>
      <w:tr w:rsidR="00437FF4" w:rsidRPr="00800E7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437FF4" w:rsidRPr="00800E7A" w:rsidTr="002928B7">
        <w:trPr>
          <w:trHeight w:hRule="exact" w:val="23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2928B7" w:rsidRDefault="00A4350E" w:rsidP="00292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</w:t>
            </w:r>
            <w:r w:rsidR="00292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8B7"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 информации, нормативных и методических материалов в сфере профессиональной деятельности</w:t>
            </w:r>
          </w:p>
          <w:p w:rsidR="00437FF4" w:rsidRPr="002644C9" w:rsidRDefault="00EA32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B19D6"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обработки информации с использованием компьютерных систем</w:t>
            </w:r>
          </w:p>
        </w:tc>
      </w:tr>
      <w:tr w:rsidR="00437FF4" w:rsidRPr="00800E7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поиск, обобщение и систематизацию современной научно -технической информации по рассматриваемым в рамках учебной-практики проблемам и задачам.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современную научно-техническую информацию по рассматриваемым в рамках учебной-практики проблемам и задачам.</w:t>
            </w:r>
          </w:p>
        </w:tc>
      </w:tr>
      <w:tr w:rsidR="00437FF4" w:rsidRPr="00800E7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 современной научно-технической информации по рассматриваемым в рамках учебной-практики проблемам и задачам.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исследовательских работ по рассматриваемым в рамках учебной-практики проблемам и задачам</w:t>
            </w:r>
          </w:p>
        </w:tc>
      </w:tr>
      <w:tr w:rsidR="00437FF4" w:rsidRPr="00800E7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политику государства в области обеспечения информационной безопасности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рынка труда в области обеспечения информационной безопасности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профессиональный стандарт «Специалист по защите информации в автоматизированных системах»</w:t>
            </w:r>
          </w:p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37F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информацию по вопросам национальной и информационной безопасности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госудраства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</w:tr>
      <w:tr w:rsidR="00437FF4" w:rsidRPr="00800E7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терминологией в области информационной безопасности;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соблюдения норм профессиональной этики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437FF4" w:rsidRPr="00800E7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44C9">
              <w:rPr>
                <w:lang w:val="ru-RU"/>
              </w:rPr>
              <w:t xml:space="preserve"> </w:t>
            </w:r>
            <w:r w:rsidR="00800E7A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</w:t>
            </w:r>
            <w:r w:rsidR="00800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800E7A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  <w:r w:rsidR="00800E7A" w:rsidRPr="00DD61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800E7A" w:rsidRPr="00DD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37FF4" w:rsidRPr="00800E7A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2644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37FF4" w:rsidRPr="00800E7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644C9" w:rsidRPr="004A477F" w:rsidRDefault="002644C9" w:rsidP="002644C9">
      <w:pPr>
        <w:widowControl w:val="0"/>
        <w:tabs>
          <w:tab w:val="left" w:pos="186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учебной-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обучающемуся за подготовку и защиту отчета по практике.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2644C9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задания на практику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Аннотацию.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2644C9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</w:t>
      </w:r>
      <w:r w:rsidRPr="000B3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Аннотация отчета по учебной практике должна содержать краткую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характеристику отчета. </w:t>
      </w:r>
      <w:r w:rsidRPr="00110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Основную часть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Примерное индивидуальное задание на производственную практику:</w:t>
      </w:r>
    </w:p>
    <w:p w:rsidR="002644C9" w:rsidRPr="004A477F" w:rsidRDefault="002644C9" w:rsidP="002644C9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Список индивидуальных тем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средства защиты информации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системы компьютерной безопасности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lastRenderedPageBreak/>
        <w:t xml:space="preserve">Современные криптографические системы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Криптоанализ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 xml:space="preserve">, современное состояние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Правовые основы защиты информации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предприятия (организации) и способы борьбы с ними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Технические аспекты обеспечения защиты информации.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Атаки на систему безопасности и современные методы защиты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Современные пути решения проблемы информационной безопасности РФ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Организация центра мониторинга событий на основе современных систем анализа 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Информационная безопасность в условиях цифровой экономики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сетей беспроводной передачи данных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Использование хэш-функций в современном мире и их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криптостойкость</w:t>
      </w:r>
      <w:proofErr w:type="spellEnd"/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Проблемы применения средств защиты информации в операционной системе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Алгоритмы тестирования генераторов псевдослучайных чисел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Система накопления и анализа данных для контроля за инцидентами в сфере информационной безопасности с учетом поведенческого подхода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законодательства в области размещения и использования ИТСНК на территории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угроз безопасности информации. Возможные организационные меры, применяемые для нейтрализации ряда угроз безопасности информации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Актуальность обеспечения информационной безопасности на промышленных предприятиях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в мире «Интернета вещей»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распознавания личности по отпечаткам пальцев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Применение искусственных нейронных сетей для выявления инцидентов 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при «оплате в одно касание».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нормативной документации, регламентирующей ответственность за утечку сведений, составляющих государственную тайну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Математические модели в 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Обзор нормативно-правовой базы в сфере обеспечения безопасности критической информационной инфраструктуры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Культура информационной безопасности предприятия: сравнительный анализ зарубежных и российских исследований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Cookie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>: принципы работы и безопасность использования</w:t>
      </w:r>
    </w:p>
    <w:p w:rsidR="002644C9" w:rsidRPr="004A477F" w:rsidRDefault="002644C9" w:rsidP="0026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недостаточно четко выражено.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4A477F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2644C9" w:rsidRPr="002644C9" w:rsidRDefault="002644C9">
      <w:pPr>
        <w:rPr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437FF4" w:rsidRPr="00800E7A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800E7A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Tr="002644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800E7A" w:rsidTr="002644C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437FF4" w:rsidRPr="002644C9" w:rsidRDefault="00437F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7FF4" w:rsidRPr="00800E7A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800E7A" w:rsidTr="002644C9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Академический курс).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Лабораторный практикум [Электронный ресурс]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У.В. Михайлова, М.В. Афанасьева ; Магнитогорский гос. технический ун-т им. Г. И. Носова. - Магнитогорск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14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Произвести авторизацию (Логин: Читатель1 Пароль: 111111)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437FF4" w:rsidRPr="002644C9" w:rsidRDefault="00437F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7FF4" w:rsidRPr="00800E7A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800E7A" w:rsidTr="002644C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самостоятельных работ по учебной- практике (Приложение 1) .</w:t>
            </w:r>
          </w:p>
        </w:tc>
      </w:tr>
      <w:tr w:rsidR="00437FF4" w:rsidRPr="00800E7A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800E7A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9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"/>
        <w:gridCol w:w="1517"/>
        <w:gridCol w:w="1682"/>
        <w:gridCol w:w="33"/>
        <w:gridCol w:w="20"/>
        <w:gridCol w:w="280"/>
        <w:gridCol w:w="1968"/>
        <w:gridCol w:w="141"/>
        <w:gridCol w:w="53"/>
        <w:gridCol w:w="3631"/>
        <w:gridCol w:w="43"/>
        <w:gridCol w:w="10"/>
        <w:gridCol w:w="43"/>
      </w:tblGrid>
      <w:tr w:rsidR="00437FF4" w:rsidRPr="00800E7A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lastRenderedPageBreak/>
              <w:t xml:space="preserve"> </w:t>
            </w:r>
          </w:p>
        </w:tc>
      </w:tr>
      <w:tr w:rsidR="00437FF4" w:rsidRPr="00800E7A" w:rsidTr="002644C9">
        <w:trPr>
          <w:gridAfter w:val="2"/>
          <w:wAfter w:w="53" w:type="dxa"/>
          <w:trHeight w:hRule="exact" w:val="270"/>
        </w:trPr>
        <w:tc>
          <w:tcPr>
            <w:tcW w:w="3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1517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1682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333" w:type="dxa"/>
            <w:gridSpan w:val="3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5793" w:type="dxa"/>
            <w:gridSpan w:val="4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24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37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trHeight w:hRule="exact" w:val="277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</w:tcPr>
          <w:p w:rsidR="00437FF4" w:rsidRDefault="00437FF4"/>
        </w:tc>
        <w:tc>
          <w:tcPr>
            <w:tcW w:w="20" w:type="dxa"/>
          </w:tcPr>
          <w:p w:rsidR="00437FF4" w:rsidRDefault="00437FF4"/>
        </w:tc>
        <w:tc>
          <w:tcPr>
            <w:tcW w:w="2442" w:type="dxa"/>
            <w:gridSpan w:val="4"/>
          </w:tcPr>
          <w:p w:rsidR="00437FF4" w:rsidRDefault="00437FF4"/>
        </w:tc>
        <w:tc>
          <w:tcPr>
            <w:tcW w:w="3684" w:type="dxa"/>
            <w:gridSpan w:val="3"/>
          </w:tcPr>
          <w:p w:rsidR="00437FF4" w:rsidRDefault="00437FF4"/>
        </w:tc>
        <w:tc>
          <w:tcPr>
            <w:tcW w:w="43" w:type="dxa"/>
          </w:tcPr>
          <w:p w:rsidR="00437FF4" w:rsidRDefault="00437FF4"/>
        </w:tc>
      </w:tr>
      <w:tr w:rsidR="00437FF4" w:rsidRPr="00800E7A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3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RPr="002644C9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Pr="002644C9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Pr="002644C9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https://archive.neicon.ru/xmlu </w:t>
              </w:r>
              <w:proofErr w:type="spellStart"/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3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4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32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33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34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RPr="00800E7A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800E7A" w:rsidTr="002644C9">
        <w:trPr>
          <w:gridAfter w:val="2"/>
          <w:wAfter w:w="53" w:type="dxa"/>
          <w:trHeight w:hRule="exact" w:val="14341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С6»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44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</w:tc>
      </w:tr>
    </w:tbl>
    <w:p w:rsidR="002644C9" w:rsidRDefault="002644C9">
      <w:pPr>
        <w:rPr>
          <w:lang w:val="ru-RU"/>
        </w:rPr>
      </w:pPr>
    </w:p>
    <w:p w:rsidR="002644C9" w:rsidRPr="004A477F" w:rsidRDefault="002644C9" w:rsidP="002644C9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644C9" w:rsidRPr="004A477F" w:rsidRDefault="002644C9" w:rsidP="002644C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материала обучающимися, развитие их познавательной активности, готовности и потребности в самообразовании.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644C9" w:rsidRDefault="002644C9">
      <w:pPr>
        <w:rPr>
          <w:lang w:val="ru-RU"/>
        </w:rPr>
      </w:pPr>
    </w:p>
    <w:p w:rsidR="00437FF4" w:rsidRPr="002644C9" w:rsidRDefault="00437FF4">
      <w:pPr>
        <w:rPr>
          <w:lang w:val="ru-RU"/>
        </w:rPr>
      </w:pPr>
    </w:p>
    <w:sectPr w:rsidR="00437FF4" w:rsidRPr="002644C9" w:rsidSect="00437FF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6977DD"/>
    <w:multiLevelType w:val="hybridMultilevel"/>
    <w:tmpl w:val="6AD4DF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6770"/>
    <w:rsid w:val="001F0BC7"/>
    <w:rsid w:val="002430BE"/>
    <w:rsid w:val="002644C9"/>
    <w:rsid w:val="002928B7"/>
    <w:rsid w:val="003B19D6"/>
    <w:rsid w:val="00437FF4"/>
    <w:rsid w:val="00784DB2"/>
    <w:rsid w:val="00800E7A"/>
    <w:rsid w:val="009B5734"/>
    <w:rsid w:val="00A4350E"/>
    <w:rsid w:val="00C049A4"/>
    <w:rsid w:val="00D31453"/>
    <w:rsid w:val="00E127BE"/>
    <w:rsid w:val="00E209E2"/>
    <w:rsid w:val="00EA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4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4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magtu.informsystema.ru/uploader/fileUpload?name=3813.pdf&amp;show=dcatalogues/1/1529986/3813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tec.ru/normotvorcheskaya/tekhnicheskaya-zashchita-informatsii" TargetMode="External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824.pdf&amp;show=dcatalogues/1/1530260/3824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ww.springer.com/references" TargetMode="External"/><Relationship Id="rId33" Type="http://schemas.openxmlformats.org/officeDocument/2006/relationships/hyperlink" Target="http://magtu.ru:8085/marcweb%20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bdu.fstec.ru/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923295" TargetMode="External"/><Relationship Id="rId24" Type="http://schemas.openxmlformats.org/officeDocument/2006/relationships/hyperlink" Target="http://zbmath.org/" TargetMode="External"/><Relationship Id="rId32" Type="http://schemas.openxmlformats.org/officeDocument/2006/relationships/hyperlink" Target="http://ecsocman.hs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www.nature.com/siteindex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14083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magtu.informsystema.ru" TargetMode="External"/><Relationship Id="rId22" Type="http://schemas.openxmlformats.org/officeDocument/2006/relationships/hyperlink" Target="https://archive.neicon.ru/xmlu%20i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4679</Words>
  <Characters>26676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Учебная-практика по получению первичных профессиональных умений, в том числе первичных умений и навыков научно-исследовательской деятельности</vt:lpstr>
      <vt:lpstr>Лист1</vt:lpstr>
    </vt:vector>
  </TitlesOfParts>
  <Company>Microsoft</Company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Учебная-практика по получению первичных профессиональных умений, в том числе первичных умений и навыков научно-исследовательской деятельности</dc:title>
  <dc:creator>FastReport.NET</dc:creator>
  <cp:lastModifiedBy>user</cp:lastModifiedBy>
  <cp:revision>3</cp:revision>
  <dcterms:created xsi:type="dcterms:W3CDTF">2020-10-18T08:36:00Z</dcterms:created>
  <dcterms:modified xsi:type="dcterms:W3CDTF">2020-11-11T05:14:00Z</dcterms:modified>
</cp:coreProperties>
</file>