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952" w:rsidRDefault="00652952" w:rsidP="00652952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400B6D" w:rsidTr="00400B6D">
        <w:trPr>
          <w:trHeight w:val="826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00B6D" w:rsidRDefault="00BB337F" w:rsidP="00400B6D">
            <w:r>
              <w:object w:dxaOrig="159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457.8pt;height:667.2pt" o:ole="">
                  <v:imagedata r:id="rId8" o:title=""/>
                </v:shape>
                <o:OLEObject Type="Embed" ProgID="PBrush" ShapeID="_x0000_i1046" DrawAspect="Content" ObjectID="_1673726781" r:id="rId9"/>
              </w:object>
            </w:r>
          </w:p>
        </w:tc>
      </w:tr>
      <w:tr w:rsidR="00400B6D" w:rsidTr="00400B6D">
        <w:trPr>
          <w:trHeight w:val="826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00B6D" w:rsidRPr="00845D02" w:rsidRDefault="00400B6D" w:rsidP="00400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84EB3EE" wp14:editId="1E596623">
                  <wp:extent cx="5760720" cy="8044180"/>
                  <wp:effectExtent l="0" t="0" r="0" b="0"/>
                  <wp:docPr id="25" name="Рисунок 25" descr="D:\ИНСТИТУТ\Новая еботня 20-21\Аспирантура\Сканы титулов\Рисунок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D:\ИНСТИТУТ\Новая еботня 20-21\Аспирантура\Сканы титулов\Рисунок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04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F" w:rsidTr="00400B6D">
        <w:trPr>
          <w:trHeight w:val="826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B337F" w:rsidRDefault="00BB337F" w:rsidP="00400B6D">
            <w:pPr>
              <w:rPr>
                <w:noProof/>
                <w:lang w:val="ru-RU" w:eastAsia="ru-RU"/>
              </w:rPr>
            </w:pPr>
            <w:r w:rsidRPr="0066410B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549B43F" wp14:editId="3794A91B">
                  <wp:extent cx="5651261" cy="7984859"/>
                  <wp:effectExtent l="0" t="0" r="6985" b="0"/>
                  <wp:docPr id="1" name="Рисунок 1" descr="D:\ИНСТИТУТ\Новая еботня 20-21\Актуализация\Актуализация РПД - памятка\Лист изменений 2019_с подпис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ИНСТИТУТ\Новая еботня 20-21\Актуализация\Актуализация РПД - памятка\Лист изменений 2019_с подпися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14" cy="798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52952" w:rsidTr="00400B6D">
        <w:trPr>
          <w:trHeight w:val="277"/>
        </w:trPr>
        <w:tc>
          <w:tcPr>
            <w:tcW w:w="9140" w:type="dxa"/>
          </w:tcPr>
          <w:p w:rsidR="00652952" w:rsidRDefault="00652952"/>
        </w:tc>
      </w:tr>
    </w:tbl>
    <w:p w:rsidR="00652952" w:rsidRDefault="00652952" w:rsidP="00652952">
      <w:pPr>
        <w:rPr>
          <w:sz w:val="2"/>
          <w:szCs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7163"/>
      </w:tblGrid>
      <w:tr w:rsidR="00652952" w:rsidTr="00327C33">
        <w:trPr>
          <w:trHeight w:val="28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00B6D" w:rsidRDefault="00400B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0B6D" w:rsidRDefault="00400B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00B6D" w:rsidRDefault="00400B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52952" w:rsidRPr="00BB337F" w:rsidTr="00327C33">
        <w:trPr>
          <w:trHeight w:val="3260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Актуальность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взятой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разбираться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стремительно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меняющейся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327C33">
        <w:trPr>
          <w:trHeight w:hRule="exact" w:val="138"/>
        </w:trPr>
        <w:tc>
          <w:tcPr>
            <w:tcW w:w="1977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7163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BB337F" w:rsidTr="00327C33">
        <w:trPr>
          <w:trHeight w:val="416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327C33">
        <w:trPr>
          <w:trHeight w:val="1366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327C33" w:rsidTr="00327C33">
        <w:trPr>
          <w:trHeight w:val="55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27C33" w:rsidRPr="00327C33" w:rsidRDefault="00327C33" w:rsidP="00327C3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Математические методы планирования и обработки результатов экономических исследований; </w:t>
            </w:r>
          </w:p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информационные системы в экономике; </w:t>
            </w:r>
          </w:p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теоретических и экспериментальных исследований в области экономики;</w:t>
            </w:r>
          </w:p>
          <w:p w:rsidR="00652952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интеллектуальной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52952"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652952" w:rsidRPr="00BB337F" w:rsidTr="00327C33">
        <w:trPr>
          <w:trHeight w:val="55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327C33">
        <w:trPr>
          <w:trHeight w:val="28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Спецдисциплина;</w:t>
            </w:r>
          </w:p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и подготовка НКР;</w:t>
            </w:r>
          </w:p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 по получению профессиональных умений и опыта профессиональной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научного доклада об основных результатах подготовленной НКР.</w:t>
            </w:r>
          </w:p>
          <w:p w:rsidR="00652952" w:rsidRPr="00327C33" w:rsidRDefault="0065295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52952" w:rsidRPr="00BB337F" w:rsidTr="00327C33">
        <w:trPr>
          <w:trHeight w:hRule="exact" w:val="138"/>
        </w:trPr>
        <w:tc>
          <w:tcPr>
            <w:tcW w:w="1977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7163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BB337F" w:rsidTr="00327C33">
        <w:trPr>
          <w:trHeight w:val="555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327C33">
        <w:trPr>
          <w:trHeight w:val="826"/>
        </w:trPr>
        <w:tc>
          <w:tcPr>
            <w:tcW w:w="914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>
              <w:rPr>
                <w:lang w:val="ru-RU"/>
              </w:rPr>
              <w:t xml:space="preserve"> </w:t>
            </w:r>
          </w:p>
        </w:tc>
      </w:tr>
      <w:tr w:rsidR="00327C33" w:rsidRPr="00327C33" w:rsidTr="00F10CEB">
        <w:trPr>
          <w:trHeight w:hRule="exact" w:val="840"/>
        </w:trPr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327C33" w:rsidRPr="00327C33" w:rsidRDefault="00327C33" w:rsidP="00327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327C33" w:rsidRPr="00327C33" w:rsidRDefault="00327C33" w:rsidP="00327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327C33">
              <w:t xml:space="preserve"> </w:t>
            </w: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327C33">
              <w:t xml:space="preserve"> </w:t>
            </w: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327C33" w:rsidRPr="00BB337F" w:rsidTr="00F10CEB">
        <w:trPr>
          <w:trHeight w:hRule="exact" w:val="614"/>
        </w:trPr>
        <w:tc>
          <w:tcPr>
            <w:tcW w:w="9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327C33" w:rsidRPr="00BB337F" w:rsidTr="00F10CEB">
        <w:trPr>
          <w:trHeight w:hRule="exact" w:val="1696"/>
        </w:trPr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теоретических и эмпирических исследований в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критерии эффективности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стадии, фазы и этапы  организации инвестиционной и инновационной деятельности.</w:t>
            </w:r>
          </w:p>
        </w:tc>
      </w:tr>
    </w:tbl>
    <w:p w:rsidR="00327C33" w:rsidRPr="00327C33" w:rsidRDefault="00327C33" w:rsidP="00327C33">
      <w:pPr>
        <w:rPr>
          <w:sz w:val="0"/>
          <w:szCs w:val="0"/>
          <w:lang w:val="ru-RU"/>
        </w:rPr>
      </w:pPr>
      <w:r w:rsidRPr="00327C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6"/>
        <w:gridCol w:w="7184"/>
      </w:tblGrid>
      <w:tr w:rsidR="00327C33" w:rsidRPr="00BB337F" w:rsidTr="00F10CEB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выделять стадии, фазы и этапы организации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эффективность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проектировать и анализировать результаты инвестиционной и инновационной деятельности по стадиям, фазам, этапам инвестиционных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приобретать знания в области моделирования инвестиционных и инновационных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корректно выражать и аргументированно обосновывать положения в области моделирования инвестиционных и инновационных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задач, относящихся к инвестиционной и инновационной деятельности, с использованием методов математического моделирования;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на междисциплинарном уровне знания по организации инвестиционной и инновационной деятельности.</w:t>
            </w:r>
          </w:p>
        </w:tc>
      </w:tr>
      <w:tr w:rsidR="00327C33" w:rsidRPr="00BB337F" w:rsidTr="00F10CEB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оценки эффективности инвестиций и принятия решений о практической целесообразности реализации инвестиционных и инновационных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оценки эффективности инвестиций и принятия решений о практической целесообразности реализации инвестиционных и инновационных проектов;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анализа эффективности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 и эмпирических методов оценки эффективности инвестиционной и инновационной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анализа и экспериментальной деятельности;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327C33" w:rsidRPr="00BB337F" w:rsidTr="00F10CE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327C33" w:rsidRPr="00BB337F" w:rsidTr="00F10CEB">
        <w:trPr>
          <w:trHeight w:hRule="exact" w:val="251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теоретические категории и прикладные методы инновационной и инвестиционной деятельности;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механизмы разработки и внедрения инновационных проектов;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источники и механизмы финансирования инновационных проектов;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методы анализа и разрешения проблем инновационного развития национальной экономики;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инструменты управления основными параметрами инновационных процессов.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7C33" w:rsidRPr="00BB337F" w:rsidTr="00F10CEB">
        <w:trPr>
          <w:trHeight w:hRule="exact" w:val="1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планировать, организовывать и осуществлять инновационную и инвестиционную деятельность;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выявлять, анализировать и находить разрешение проблем инновационного развития национальной экономики;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управлять основными параметрами инновационных процессов.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27C33" w:rsidRPr="00327C33" w:rsidTr="00F10CEB">
        <w:trPr>
          <w:trHeight w:hRule="exact" w:val="15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разработки инновационных инвестиционных проектов, их внедрения и оценки их результатов;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апробации инновационных разработок, выявления и устранения отрицательных проявлений и негативных последствий; 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масштабирования инновационных разработок.</w:t>
            </w:r>
          </w:p>
          <w:p w:rsidR="00327C33" w:rsidRP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52952" w:rsidRDefault="00652952" w:rsidP="00652952">
      <w:pPr>
        <w:rPr>
          <w:sz w:val="2"/>
          <w:szCs w:val="2"/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02"/>
        <w:gridCol w:w="392"/>
        <w:gridCol w:w="566"/>
        <w:gridCol w:w="586"/>
        <w:gridCol w:w="661"/>
        <w:gridCol w:w="487"/>
        <w:gridCol w:w="1522"/>
        <w:gridCol w:w="1570"/>
        <w:gridCol w:w="1226"/>
      </w:tblGrid>
      <w:tr w:rsidR="00652952" w:rsidRPr="00BB337F" w:rsidTr="00327C33">
        <w:trPr>
          <w:trHeight w:hRule="exact" w:val="285"/>
        </w:trPr>
        <w:tc>
          <w:tcPr>
            <w:tcW w:w="694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8412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327C33">
        <w:trPr>
          <w:trHeight w:val="3611"/>
        </w:trPr>
        <w:tc>
          <w:tcPr>
            <w:tcW w:w="910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>
              <w:rPr>
                <w:lang w:val="ru-RU"/>
              </w:rPr>
              <w:t xml:space="preserve"> </w:t>
            </w:r>
          </w:p>
          <w:p w:rsidR="00400B6D" w:rsidRDefault="00400B6D" w:rsidP="00400B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5 акад. часа;</w:t>
            </w:r>
          </w:p>
          <w:p w:rsidR="00327C33" w:rsidRDefault="00327C33" w:rsidP="00327C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подготовка к зачету с оценкой – 4 акад. часа.</w:t>
            </w: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="00327C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327C33">
        <w:trPr>
          <w:trHeight w:hRule="exact" w:val="138"/>
        </w:trPr>
        <w:tc>
          <w:tcPr>
            <w:tcW w:w="694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402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566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586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661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87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522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570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226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Tr="00327C33">
        <w:trPr>
          <w:trHeight w:hRule="exact" w:val="972"/>
        </w:trPr>
        <w:tc>
          <w:tcPr>
            <w:tcW w:w="20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52952" w:rsidTr="00327C33">
        <w:trPr>
          <w:trHeight w:hRule="exact" w:val="833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327C33" w:rsidRPr="00BB337F" w:rsidTr="00327C33">
        <w:trPr>
          <w:trHeight w:hRule="exact" w:val="555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27C33" w:rsidRDefault="00327C33" w:rsidP="00327C33">
            <w:pPr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327C33">
        <w:trPr>
          <w:trHeight w:hRule="exact" w:val="1576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укладов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431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Капиталовложения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строительство,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перевооружение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Pr="00652952" w:rsidRDefault="006529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77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</w:tr>
      <w:tr w:rsidR="00327C33" w:rsidRPr="00BB337F" w:rsidTr="00327C33">
        <w:trPr>
          <w:trHeight w:hRule="exact" w:val="539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27C33" w:rsidRDefault="00327C33" w:rsidP="00327C33">
            <w:pPr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327C33">
        <w:trPr>
          <w:trHeight w:hRule="exact" w:val="1576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212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привлекательности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Pr="00652952" w:rsidRDefault="006529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77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</w:tr>
      <w:tr w:rsidR="00327C33" w:rsidRPr="00BB337F" w:rsidTr="00327C33">
        <w:trPr>
          <w:trHeight w:hRule="exact" w:val="521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27C33" w:rsidRDefault="00327C33" w:rsidP="00327C33">
            <w:pPr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327C33">
        <w:trPr>
          <w:trHeight w:hRule="exact" w:val="2431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всеобщее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новшеств.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промышленности.</w:t>
            </w:r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327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65295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652952"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1992"/>
        </w:trPr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хеджирование.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327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65295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="00652952"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/1И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652952" w:rsidTr="00327C33">
        <w:trPr>
          <w:trHeight w:hRule="exact" w:val="277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</w:tr>
      <w:tr w:rsidR="00652952" w:rsidTr="00327C33">
        <w:trPr>
          <w:trHeight w:hRule="exact" w:val="454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</w:tr>
      <w:tr w:rsidR="00652952" w:rsidTr="00327C33">
        <w:trPr>
          <w:trHeight w:hRule="exact" w:val="478"/>
        </w:trPr>
        <w:tc>
          <w:tcPr>
            <w:tcW w:w="24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 w:rsidP="00400B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Pr="00400B6D" w:rsidRDefault="006529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400B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2952" w:rsidRDefault="00652952"/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</w:t>
            </w:r>
          </w:p>
        </w:tc>
      </w:tr>
    </w:tbl>
    <w:p w:rsidR="00652952" w:rsidRDefault="00652952" w:rsidP="00652952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652952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52952" w:rsidRPr="00BB337F" w:rsidTr="00400B6D">
        <w:trPr>
          <w:trHeight w:val="5423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10F43" w:rsidRPr="00C248DA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248DA">
              <w:rPr>
                <w:lang w:val="ru-RU"/>
              </w:rPr>
              <w:t xml:space="preserve"> </w:t>
            </w:r>
          </w:p>
          <w:p w:rsidR="00E10F43" w:rsidRPr="00C248DA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248DA">
              <w:rPr>
                <w:lang w:val="ru-RU"/>
              </w:rPr>
              <w:t xml:space="preserve"> </w:t>
            </w:r>
          </w:p>
          <w:p w:rsidR="00E10F43" w:rsidRPr="00C248DA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лекцией-визуализацией,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презентации;</w:t>
            </w:r>
            <w:r w:rsidRPr="00C248DA">
              <w:rPr>
                <w:lang w:val="ru-RU"/>
              </w:rPr>
              <w:t xml:space="preserve"> </w:t>
            </w:r>
          </w:p>
          <w:p w:rsidR="00E10F43" w:rsidRPr="00487B8D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лекция-диалог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проблем-но-развивающих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(постановка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являющихся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многовариантость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C248DA">
              <w:rPr>
                <w:lang w:val="ru-RU"/>
              </w:rPr>
              <w:t xml:space="preserve"> </w:t>
            </w:r>
          </w:p>
          <w:p w:rsidR="00E10F43" w:rsidRPr="00F87768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IT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10F43" w:rsidRDefault="00E10F43" w:rsidP="00E10F4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71803">
              <w:rPr>
                <w:lang w:val="ru-RU"/>
              </w:rPr>
              <w:t xml:space="preserve"> </w:t>
            </w:r>
          </w:p>
          <w:p w:rsidR="00400B6D" w:rsidRPr="00400B6D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Практические/лабораторные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</w:tc>
      </w:tr>
      <w:tr w:rsidR="00652952" w:rsidRPr="00BB337F" w:rsidTr="00400B6D">
        <w:trPr>
          <w:trHeight w:val="87"/>
        </w:trPr>
        <w:tc>
          <w:tcPr>
            <w:tcW w:w="9140" w:type="dxa"/>
          </w:tcPr>
          <w:p w:rsidR="00652952" w:rsidRPr="00400B6D" w:rsidRDefault="00652952">
            <w:pPr>
              <w:rPr>
                <w:lang w:val="ru-RU"/>
              </w:rPr>
            </w:pPr>
          </w:p>
        </w:tc>
      </w:tr>
      <w:tr w:rsidR="00652952" w:rsidRPr="00BB337F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2952" w:rsidRPr="00BB337F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52952" w:rsidRPr="00BB337F" w:rsidTr="00400B6D">
        <w:trPr>
          <w:trHeight w:val="277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400B6D">
        <w:trPr>
          <w:trHeight w:val="509"/>
        </w:trPr>
        <w:tc>
          <w:tcPr>
            <w:tcW w:w="9140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2952" w:rsidTr="00652952">
        <w:trPr>
          <w:trHeight w:hRule="exact" w:val="7"/>
        </w:trPr>
        <w:tc>
          <w:tcPr>
            <w:tcW w:w="0" w:type="auto"/>
            <w:vMerge/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52952" w:rsidRPr="00BB337F" w:rsidTr="00400B6D">
        <w:trPr>
          <w:trHeight w:val="1637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10F43" w:rsidRPr="009D2992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Лапин Н.И. Теория и практика инноватики: учебник для вузов / Н.И. Лапин, В.В. Карачаровский. - 2-е изд. - Москва: Юрайт, 2020. - 350 с. Код доступа: https://urait.ru/viewer/teoriya-i-praktika-innovatiki-456591#page/2 (дата обращения: 01.09.2020). – Режим доступа: по подписке.</w:t>
            </w:r>
          </w:p>
          <w:p w:rsidR="00652952" w:rsidRPr="00400B6D" w:rsidRDefault="00E10F43" w:rsidP="00E10F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Управление инвестиционными проектами в условиях риска и неопределенности : учебное пособие для вузов / Л. Г. Матвеева, А. Ю. Никитаева, О. А. Чернова, Е. Ф. Щипанов.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298 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978-5-534-04586-4.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https://urait.ru/bcode/452764 (дата обращения: 01.09.2020). – Режим доступа: по подписке.</w:t>
            </w:r>
          </w:p>
        </w:tc>
      </w:tr>
      <w:tr w:rsidR="00652952" w:rsidRPr="00BB337F" w:rsidTr="00400B6D">
        <w:trPr>
          <w:trHeight w:val="87"/>
        </w:trPr>
        <w:tc>
          <w:tcPr>
            <w:tcW w:w="9140" w:type="dxa"/>
          </w:tcPr>
          <w:p w:rsidR="00652952" w:rsidRPr="00400B6D" w:rsidRDefault="00652952">
            <w:pPr>
              <w:rPr>
                <w:lang w:val="ru-RU"/>
              </w:rPr>
            </w:pPr>
          </w:p>
        </w:tc>
      </w:tr>
      <w:tr w:rsidR="00652952" w:rsidTr="00400B6D">
        <w:trPr>
          <w:trHeight w:val="285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2952" w:rsidRPr="00BB337F" w:rsidTr="00400B6D">
        <w:trPr>
          <w:trHeight w:val="3801"/>
        </w:trPr>
        <w:tc>
          <w:tcPr>
            <w:tcW w:w="914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E10F43" w:rsidRPr="00502BA5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Б.Т.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Инвестиционный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Б.Т.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anchor="page/2" w:history="1"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investicionnyy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analiz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-450162#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2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E10F43" w:rsidRPr="00502BA5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 Инновационная политика : учебник для вузов / Л. П. Гончаренко [и др.] ; под редакцией Л. П. Гончаренко.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2-е изд., перераб. и доп.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229 с.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(Высшее образование).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ISBN 978-5-534-11388-4.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URL: </w:t>
            </w:r>
            <w:hyperlink r:id="rId13" w:history="1"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https://urait.ru/bcode/445196</w:t>
              </w:r>
            </w:hyperlink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r w:rsidRPr="00502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E10F43" w:rsidRPr="00502BA5" w:rsidRDefault="00E10F43" w:rsidP="00E10F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Лаптева, А.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М.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Инвестиционные режимы. Правовые аспекты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учебное пособие для вузов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Лаптева.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Москва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284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978-5-534-10428-8.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4" w:tgtFrame="_blank" w:history="1"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/456226</w:t>
              </w:r>
            </w:hyperlink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652952" w:rsidRDefault="00652952" w:rsidP="00400B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52952" w:rsidRDefault="00652952" w:rsidP="00652952">
      <w:pPr>
        <w:rPr>
          <w:sz w:val="2"/>
          <w:szCs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"/>
        <w:gridCol w:w="163"/>
        <w:gridCol w:w="1820"/>
        <w:gridCol w:w="2748"/>
        <w:gridCol w:w="4311"/>
        <w:gridCol w:w="42"/>
        <w:gridCol w:w="20"/>
        <w:gridCol w:w="7"/>
      </w:tblGrid>
      <w:tr w:rsidR="00652952" w:rsidTr="00E10F43">
        <w:trPr>
          <w:trHeight w:val="285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52952" w:rsidRPr="00BB337F" w:rsidTr="00E10F43">
        <w:trPr>
          <w:trHeight w:val="1222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400B6D" w:rsidP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00B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Кожухар, В. М. Практикум по иностранным инвестициям / В. М. Кожухар. - 2-е изд. - Москва : Издательско-торговая корпорация «Дашков и К°», 2012.- 256 с. - ISBN 978-5-394-01920-3. - Текст : электронный. - URL: https://znanium.com/read?id=293410  (дата обращения: 01.09.2020). – Режим доступа: по подписке.</w:t>
            </w:r>
          </w:p>
        </w:tc>
      </w:tr>
      <w:tr w:rsidR="00652952" w:rsidRPr="00BB337F" w:rsidTr="00E10F43">
        <w:trPr>
          <w:trHeight w:hRule="exact" w:val="138"/>
        </w:trPr>
        <w:tc>
          <w:tcPr>
            <w:tcW w:w="192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820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2748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311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69" w:type="dxa"/>
            <w:gridSpan w:val="3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BB337F" w:rsidTr="00E10F43">
        <w:trPr>
          <w:trHeight w:val="285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E10F43">
        <w:trPr>
          <w:trHeight w:hRule="exact" w:val="277"/>
        </w:trPr>
        <w:tc>
          <w:tcPr>
            <w:tcW w:w="192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1820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2748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311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69" w:type="dxa"/>
            <w:gridSpan w:val="3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Tr="00E10F43">
        <w:trPr>
          <w:trHeight w:val="285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818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6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28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847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138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1820" w:type="dxa"/>
          </w:tcPr>
          <w:p w:rsidR="00652952" w:rsidRDefault="00652952"/>
        </w:tc>
        <w:tc>
          <w:tcPr>
            <w:tcW w:w="2748" w:type="dxa"/>
          </w:tcPr>
          <w:p w:rsidR="00652952" w:rsidRDefault="00652952"/>
        </w:tc>
        <w:tc>
          <w:tcPr>
            <w:tcW w:w="4311" w:type="dxa"/>
          </w:tcPr>
          <w:p w:rsidR="00652952" w:rsidRDefault="00652952"/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BB337F" w:rsidTr="00E10F43">
        <w:trPr>
          <w:trHeight w:val="285"/>
        </w:trPr>
        <w:tc>
          <w:tcPr>
            <w:tcW w:w="914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Tr="00E10F43">
        <w:trPr>
          <w:trHeight w:hRule="exact" w:val="270"/>
        </w:trPr>
        <w:tc>
          <w:tcPr>
            <w:tcW w:w="192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14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40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4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826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RP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52952">
              <w:rPr>
                <w:lang w:val="ru-RU"/>
              </w:rPr>
              <w:t xml:space="preserve"> </w:t>
            </w:r>
            <w:r w:rsidRPr="006529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529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trHeight w:hRule="exact" w:val="555"/>
        </w:trPr>
        <w:tc>
          <w:tcPr>
            <w:tcW w:w="192" w:type="dxa"/>
            <w:gridSpan w:val="2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69" w:type="dxa"/>
            <w:gridSpan w:val="3"/>
          </w:tcPr>
          <w:p w:rsidR="00652952" w:rsidRDefault="00652952"/>
        </w:tc>
      </w:tr>
      <w:tr w:rsidR="00652952" w:rsidTr="00E10F43">
        <w:trPr>
          <w:gridBefore w:val="1"/>
          <w:gridAfter w:val="1"/>
          <w:wBefore w:w="29" w:type="dxa"/>
          <w:wAfter w:w="7" w:type="dxa"/>
          <w:trHeight w:hRule="exact" w:val="826"/>
        </w:trPr>
        <w:tc>
          <w:tcPr>
            <w:tcW w:w="163" w:type="dxa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652952" w:rsidRDefault="00652952"/>
        </w:tc>
      </w:tr>
      <w:tr w:rsidR="00652952" w:rsidTr="00E10F43">
        <w:trPr>
          <w:gridBefore w:val="1"/>
          <w:gridAfter w:val="1"/>
          <w:wBefore w:w="29" w:type="dxa"/>
          <w:wAfter w:w="7" w:type="dxa"/>
          <w:trHeight w:hRule="exact" w:val="555"/>
        </w:trPr>
        <w:tc>
          <w:tcPr>
            <w:tcW w:w="163" w:type="dxa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652952" w:rsidRDefault="00652952"/>
        </w:tc>
      </w:tr>
      <w:tr w:rsidR="00652952" w:rsidTr="00E10F43">
        <w:trPr>
          <w:gridBefore w:val="1"/>
          <w:gridAfter w:val="1"/>
          <w:wBefore w:w="29" w:type="dxa"/>
          <w:wAfter w:w="7" w:type="dxa"/>
          <w:trHeight w:hRule="exact" w:val="555"/>
        </w:trPr>
        <w:tc>
          <w:tcPr>
            <w:tcW w:w="163" w:type="dxa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652952" w:rsidRDefault="00652952"/>
        </w:tc>
      </w:tr>
      <w:tr w:rsidR="00652952" w:rsidRPr="00BB337F" w:rsidTr="00E10F43">
        <w:trPr>
          <w:gridBefore w:val="1"/>
          <w:gridAfter w:val="1"/>
          <w:wBefore w:w="29" w:type="dxa"/>
          <w:wAfter w:w="7" w:type="dxa"/>
          <w:trHeight w:hRule="exact" w:val="555"/>
        </w:trPr>
        <w:tc>
          <w:tcPr>
            <w:tcW w:w="163" w:type="dxa"/>
          </w:tcPr>
          <w:p w:rsidR="00652952" w:rsidRDefault="00652952"/>
        </w:tc>
        <w:tc>
          <w:tcPr>
            <w:tcW w:w="4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2952" w:rsidRDefault="006529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0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BB337F" w:rsidTr="00E10F43">
        <w:trPr>
          <w:gridBefore w:val="1"/>
          <w:gridAfter w:val="2"/>
          <w:wBefore w:w="29" w:type="dxa"/>
          <w:wAfter w:w="27" w:type="dxa"/>
          <w:trHeight w:val="285"/>
        </w:trPr>
        <w:tc>
          <w:tcPr>
            <w:tcW w:w="908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E10F43">
        <w:trPr>
          <w:gridBefore w:val="1"/>
          <w:gridAfter w:val="1"/>
          <w:wBefore w:w="29" w:type="dxa"/>
          <w:wAfter w:w="7" w:type="dxa"/>
          <w:trHeight w:hRule="exact" w:val="138"/>
        </w:trPr>
        <w:tc>
          <w:tcPr>
            <w:tcW w:w="163" w:type="dxa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568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4353" w:type="dxa"/>
            <w:gridSpan w:val="2"/>
          </w:tcPr>
          <w:p w:rsidR="00652952" w:rsidRDefault="00652952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652952" w:rsidRDefault="00652952">
            <w:pPr>
              <w:rPr>
                <w:lang w:val="ru-RU"/>
              </w:rPr>
            </w:pPr>
          </w:p>
        </w:tc>
      </w:tr>
      <w:tr w:rsidR="00652952" w:rsidRPr="00BB337F" w:rsidTr="00E10F43">
        <w:trPr>
          <w:gridBefore w:val="1"/>
          <w:gridAfter w:val="2"/>
          <w:wBefore w:w="29" w:type="dxa"/>
          <w:wAfter w:w="27" w:type="dxa"/>
          <w:trHeight w:val="270"/>
        </w:trPr>
        <w:tc>
          <w:tcPr>
            <w:tcW w:w="9084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E10F43">
        <w:trPr>
          <w:gridBefore w:val="1"/>
          <w:gridAfter w:val="2"/>
          <w:wBefore w:w="29" w:type="dxa"/>
          <w:wAfter w:w="27" w:type="dxa"/>
          <w:trHeight w:val="509"/>
        </w:trPr>
        <w:tc>
          <w:tcPr>
            <w:tcW w:w="9084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>
              <w:rPr>
                <w:lang w:val="ru-RU"/>
              </w:rPr>
              <w:t xml:space="preserve"> </w:t>
            </w:r>
          </w:p>
          <w:p w:rsidR="00652952" w:rsidRDefault="006529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>
              <w:rPr>
                <w:lang w:val="ru-RU"/>
              </w:rPr>
              <w:t xml:space="preserve"> </w:t>
            </w:r>
          </w:p>
        </w:tc>
      </w:tr>
      <w:tr w:rsidR="00652952" w:rsidRPr="00BB337F" w:rsidTr="00652952">
        <w:trPr>
          <w:gridBefore w:val="1"/>
          <w:gridAfter w:val="2"/>
          <w:wBefore w:w="29" w:type="dxa"/>
          <w:wAfter w:w="27" w:type="dxa"/>
          <w:trHeight w:hRule="exact" w:val="3786"/>
        </w:trPr>
        <w:tc>
          <w:tcPr>
            <w:tcW w:w="0" w:type="auto"/>
            <w:gridSpan w:val="5"/>
            <w:vMerge/>
            <w:vAlign w:val="center"/>
            <w:hideMark/>
          </w:tcPr>
          <w:p w:rsidR="00652952" w:rsidRDefault="006529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652952" w:rsidRDefault="00652952" w:rsidP="00652952">
      <w:pPr>
        <w:rPr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62F4" w:rsidRPr="00652952" w:rsidRDefault="009A62F4" w:rsidP="009A62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Default="00171590" w:rsidP="00444969">
      <w:pPr>
        <w:spacing w:after="0" w:line="240" w:lineRule="auto"/>
        <w:jc w:val="right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E10F43" w:rsidRPr="00E10F43" w:rsidRDefault="00E10F43" w:rsidP="00E10F4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10F43" w:rsidRPr="00E10F43" w:rsidRDefault="00E10F43" w:rsidP="00E10F4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По дисциплине «Основы инвестиционной и инновационной деятельности в промышленности» предусмотрена аудиторная и внеаудиторная самостоятельная работа обучающихся.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аспирантов предполагает выполнение аналитических контрольных заданий, обсуждение научных методов и проблем на практических занятиях.</w:t>
      </w: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Здания для самостоятельной работы студентов: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Роль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инвестиционной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инновационной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техники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промышленности.</w:t>
      </w:r>
    </w:p>
    <w:p w:rsidR="00E10F43" w:rsidRPr="00E10F43" w:rsidRDefault="00E10F43" w:rsidP="00E10F43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1.1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Инновации,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научно-технического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прогресса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укладов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понимается под инновациями? Какова роль инноваций в развитии современного промышленного предприятия?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 чем отличие процессных и продуктовых инноваций промышленного предприятия?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понимается под инвестициями? Какова роль инвестиций в развитии современного промышленного предприятия?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В чем заключается основное отличие реальных и финансовых инвестиций предприятия? </w:t>
      </w:r>
      <w:r w:rsidRPr="00E10F43">
        <w:rPr>
          <w:rFonts w:ascii="Times New Roman" w:hAnsi="Times New Roman" w:cs="Times New Roman"/>
          <w:sz w:val="24"/>
          <w:szCs w:val="24"/>
        </w:rPr>
        <w:t>Что понимается под капиталовложениями?</w:t>
      </w:r>
    </w:p>
    <w:p w:rsidR="00E10F43" w:rsidRPr="00E10F43" w:rsidRDefault="00E10F43" w:rsidP="00E10F4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Укажите важнейшие направления инновационного развития современных предприятий черной металлургии.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занятиях):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Научно-технический прогресс и роль инноваций в развитии экономики.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Инновации, инновационная деятельность и инновационный процесс. Типовые графики инновационного процесса.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Управление инновационной деятельностью предприятий и организаций.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Эволюция технологических укладов (волн) и роль научных исследований и разработок.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Структура и содержание инновационного менеджмента организации.</w:t>
      </w:r>
    </w:p>
    <w:p w:rsidR="00E10F43" w:rsidRPr="00E10F43" w:rsidRDefault="00E10F43" w:rsidP="00E10F43">
      <w:pPr>
        <w:keepNext/>
        <w:widowControl w:val="0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CALS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-технологии как инструмент сопровождения инновационных процессов.</w:t>
      </w:r>
    </w:p>
    <w:p w:rsidR="00E10F43" w:rsidRPr="00E10F43" w:rsidRDefault="00E10F43" w:rsidP="00E10F43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Тестовые задания: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1 Что понимается под инновациями: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новшества;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нововведения;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инновационная деятельность;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инновационный процесс;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все ответы верны;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 В каком случае внедрение нового продукта определяется как радикальная инновация: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технологические изменения продукта;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усовершенствованный технологических процесс;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область применения, функциональные характеристики, материалы и компоненты существенно отличаются от ранее использовавшихся;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все ответы верны;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 Укажите тип инновационного поведения компании в случае массового производства нового продукта с опережением конкурентов за счет серийности производства и эффекта масштаба: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виолентный;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патиентный;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эксплерентный;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коммутантный;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нет правильного ответа;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 Что понимается под инновационной инфраструктурой: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искусство руководства и координация трудовых, материальных и иных ресурсов на протяжении жизненного цикла проекта путем применения системы современных методов и техники управления для достижения определенных в проекте результатов по составу и объему работ, стоимости, времени, качеству проекта;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</w:t>
      </w:r>
      <w:r w:rsidRPr="00E10F43">
        <w:rPr>
          <w:rFonts w:ascii="Times New Roman" w:eastAsia="Times New Roman" w:hAnsi="Times New Roman" w:cs="Times New Roman"/>
          <w:iCs/>
          <w:lang w:val="ru-RU" w:eastAsia="ru-RU"/>
        </w:rPr>
        <w:t>система взаимосвязанных и взаимодополняющих организаций различной направленности и различных организационно-правовых форм, а также порядок их взаимодействия, которые обеспечивают реализацию этапов инновационного процесса, начиная с технологического освоения законченной научной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lang w:val="ru-RU" w:eastAsia="ru-RU"/>
        </w:rPr>
        <w:t xml:space="preserve">в)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система расчетов, направленная на выбор и обоснование целей развития инновационного процесса и подготовку решений, необходимых для их безусловного достижения;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 Укажите функции государстве в сфере инновационной деятельности: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аккумулирование денежных и иных ресурсов;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стимулирование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координация инновационной деятельности;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правовое обеспечение;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кадровое обеспечение;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 Укажите метод анализа внешней и внутренней среды компании, реализующей инновационный процесс, ориентированный на достижение целей развития с учётом эндогенных и экзогенных факторов: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факторный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функциональный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системный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ситуационный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 Укажите метод анализа инновационной деятельности, требующей высокого уровня творчества специалистов, их глубокой профессиональной подготовки и интуиции, что делает ее сходной с искусством: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факторный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функциональный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системный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ситуационный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 Укажите метод анализа инновационной деятельности компании, когда наука и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техника рассматриваются в качестве важнейших факторов развития ее экономического потенциала, а в качестве критерия используется снижение затрат: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факторный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функциональный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системный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ситуационный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 Укажите метод анализа инновационной деятельности компании в условиях жесткого регламентирования процедурных аспектов управления, положений о подразделениях и должностных инструкций: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факторный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функциональный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системный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ситуационный анализ;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10 </w:t>
      </w: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Какой вид лицензии предполагает полный отказ лицензиара от самостоятельного использования изобретения: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а) неисключительная лицензия;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б) исключительная лицензия;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в) полная лицензия;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11 Укажите группу, в которой все указанные объекты относятся к промышленной собственности (согласно российскому законодательству):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а)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изобретение, промышленный образец, полезная модель;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товарный знак, ноу-хау, коммерческая тайна;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научные произведения, программы для ЭВМ;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документ, удостоверяющий авторское право, знак обслуживания;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12 Что представляет собой инновационный процесс: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преобразования научного знания в инновацию;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коммерциализация результатов научных исследований;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реализация инновационного потенциала;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реализация инновационной политики;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13 Что представляет собой процесс, посредством которого нововведение передается по коммуникационным каналам между членами социальной системы во времени: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14 Что представляют собой оригинальные работы, направленные на получение новых знаний, поиск путей использования результатов фундаментальных исследований, новых методов решения проблем: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15 Что представляет собой </w:t>
      </w:r>
      <w:r w:rsidRPr="00E10F43">
        <w:rPr>
          <w:rFonts w:ascii="Times New Roman" w:eastAsia="Times New Roman" w:hAnsi="Times New Roman" w:cs="Times New Roman"/>
          <w:iCs/>
          <w:lang w:val="ru-RU" w:eastAsia="ru-RU"/>
        </w:rPr>
        <w:t>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lang w:val="ru-RU" w:eastAsia="ru-RU"/>
        </w:rPr>
        <w:lastRenderedPageBreak/>
        <w:t xml:space="preserve">16 Что представляют собой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экспериментальные или теоретические исследования, направленные на получение новых знаний: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 Что представляют собой работы, направленные на создание новых продуктов или устройств, новых материалов, внедрение новых процессов, систем и услуг или усовершенствование уже выпускаемых или введенных в действие: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процесс инновационного менеджмента;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диффузия инноваций;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фундаментальные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прикладные исследования;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научно-исследовательские и опытно-конструкторские разработки;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18 </w:t>
      </w: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Какая из формулировок наиболее точно выражает сущность понятия «технологический уклад (волна)» в экономике: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а)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преобладающий технический уровень производства, средняя степень переработки и использования ресурсов, средний уровень квалификации рабочей силы и научно-технического потенциала;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наиболее высокий технический уровень производств, максимальный уровень переработки и использования ресурсов, наиболее высокий уровень квалификации рабочей силы и научно-технического потенциала;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единый технический уровень производств, связанных вертикальными и горизонтальными потоками однородных ресурсов, базирующихся на общих ресурсах рабочей силы и общем научно-техническом потенциале;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19 Что понимается под «наукоемкостью продукции»: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показатель количественной оценки, отражающий пропорцию между научно-технической деятельностью и производством в виде величины затрат на науку, приходящихся на единицу продукции;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мера готовности выполнить задачи, обеспечивающие достижение поставленной инновационной цели, то есть мера готовности к реализации проекта или программы инновационных стратегических изменений;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20 </w:t>
      </w: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 какому признаку сформирована классификация инноваций на сырьевые, обеспечивающие и продуктовые: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а) по инновационному потенциалу;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б) по преемственности научных исследований;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в) по месту в производственном цикле;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21 С именем какого исследователя связывают появление термина «инновации»: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а) Дж.М. Кейнс;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б) А. Смит;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в) К. Маркс;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г) Й. Шумпетер;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д) А. Маршалл;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е) Н.Д. Кондратьев;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22 Что является основной целью технопарков: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а)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создание новых или радикальные преобразования старых сегментов рынка;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стимулирование малого инновационного предпринимательства;</w:t>
      </w:r>
    </w:p>
    <w:p w:rsidR="00E10F43" w:rsidRPr="00E10F43" w:rsidRDefault="00E10F43" w:rsidP="00E10F43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реализация прибыльных проектов;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1.2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проектов.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Капиталовложения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строительство,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перевооружение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реконструкцию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предприятий.</w:t>
      </w:r>
    </w:p>
    <w:p w:rsidR="00E10F43" w:rsidRPr="00E10F43" w:rsidRDefault="00E10F43" w:rsidP="00E10F43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Концепция инновационного менеджмента современной организации.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государственного регулирования инновационной деятельности в Российской Федерации.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Организационные формы инновационной деятельности.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Проблемы повышения инновационной активности современных организаций.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Инновационная стратегия современной организации.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Инновационная политика современной организации.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инновационного климата и инновационный потенциал организации.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Конкурентные преимущества и формирование портфелей новшеств и инноваций.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организации НИОКР и проектирования в системе инновационной деятельности.</w:t>
      </w:r>
    </w:p>
    <w:p w:rsidR="00E10F43" w:rsidRPr="00E10F43" w:rsidRDefault="00E10F43" w:rsidP="00E10F43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Экономика инновационной деятельности.</w:t>
      </w:r>
    </w:p>
    <w:p w:rsidR="00E10F43" w:rsidRPr="00E10F43" w:rsidRDefault="00E10F43" w:rsidP="00E10F43">
      <w:pPr>
        <w:tabs>
          <w:tab w:val="left" w:pos="1560"/>
        </w:tabs>
        <w:spacing w:after="0" w:line="240" w:lineRule="auto"/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1. Расчет капитальных затрат на реконструкцию и техническое перевооружение промышленного предприятия.</w:t>
      </w:r>
    </w:p>
    <w:p w:rsidR="00E10F43" w:rsidRPr="00E10F43" w:rsidRDefault="00E10F43" w:rsidP="00E10F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По исходным данным, приведенным в таблицах 1 и 2, рассчитать упрощенным методом общий объем капитальных затрат на комплексную реконструкцию металлургического комбината. При пересчете в цены 2019 г. использовать повышающий коэффициент 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k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=15.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Таблица 1 – Укрупненные показатели стоимости зданий различного назначения, сооружений и передаточных устройств с накладными расходами в ценах 2002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6271"/>
        <w:gridCol w:w="2410"/>
      </w:tblGrid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Наименование объектов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Стоимость, руб./ м</w:t>
            </w:r>
            <w:r w:rsidRPr="00E10F4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E10F43" w:rsidRPr="00BB337F" w:rsidTr="00F10CEB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Одноэтажный промышленный корпус со сборным металлическим или железобетонным каркасом строительным объемом, тыс. м</w:t>
            </w:r>
            <w:r w:rsidRPr="00E10F43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 w:rsidRPr="00E10F43"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до 50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371,25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50 до 75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332,64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75 до 100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289,90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100 до 150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247,50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150 до 200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206,42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200 до 300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186,52</w:t>
            </w:r>
          </w:p>
        </w:tc>
      </w:tr>
      <w:tr w:rsidR="00E10F43" w:rsidRPr="00E10F43" w:rsidTr="00F10CEB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свыше 300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166,32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2. Многоэтажные промышленные корпуса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485 – 580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3. Административно-хозяйственные корпуса и здания бытового назначения двух- и трехэтажные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520 – 620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4. Насосные, котельные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415 – 480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5. Эстакады открытые железобетонные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583,75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6. Силосные корпуса железобетонные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414,15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7. Сооружения, руб./т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18280</w:t>
            </w:r>
          </w:p>
        </w:tc>
      </w:tr>
      <w:tr w:rsidR="00E10F43" w:rsidRPr="00E10F43" w:rsidTr="00F10CEB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8. Передаточные устройства, руб./т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7045</w:t>
            </w:r>
          </w:p>
        </w:tc>
      </w:tr>
    </w:tbl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Таблица 2 – Исходные данные для расчета объема капитальных затрат  на реконструкцию металлургического комбината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2133"/>
        <w:gridCol w:w="939"/>
        <w:gridCol w:w="940"/>
        <w:gridCol w:w="939"/>
        <w:gridCol w:w="939"/>
        <w:gridCol w:w="939"/>
        <w:gridCol w:w="940"/>
        <w:gridCol w:w="939"/>
      </w:tblGrid>
      <w:tr w:rsidR="00E10F43" w:rsidRPr="00E10F43" w:rsidTr="00F10CEB">
        <w:tc>
          <w:tcPr>
            <w:tcW w:w="44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Наименование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показателей</w:t>
            </w:r>
          </w:p>
        </w:tc>
        <w:tc>
          <w:tcPr>
            <w:tcW w:w="103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В а р и а н т ы</w:t>
            </w:r>
          </w:p>
        </w:tc>
      </w:tr>
      <w:tr w:rsidR="00E10F43" w:rsidRPr="00E10F43" w:rsidTr="00F10CEB">
        <w:tc>
          <w:tcPr>
            <w:tcW w:w="80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</w:t>
            </w:r>
          </w:p>
        </w:tc>
      </w:tr>
      <w:tr w:rsidR="00E10F43" w:rsidRPr="00E10F43" w:rsidTr="00F10CEB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 xml:space="preserve">Строительный </w:t>
            </w:r>
            <w:r w:rsidRPr="00E10F43">
              <w:rPr>
                <w:rFonts w:ascii="Times New Roman" w:hAnsi="Times New Roman" w:cs="Times New Roman"/>
                <w:lang w:val="ru-RU"/>
              </w:rPr>
              <w:lastRenderedPageBreak/>
              <w:t>объем возводимых одноэтажных зданий, тыс.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5" type="#_x0000_t75" style="width:16.2pt;height:16.2pt" o:ole="" fillcolor="window">
                  <v:imagedata r:id="rId15" o:title=""/>
                </v:shape>
                <o:OLEObject Type="Embed" ProgID="Equation.3" ShapeID="_x0000_i1025" DrawAspect="Content" ObjectID="_1673726782" r:id="rId16"/>
              </w:object>
            </w:r>
            <w:r w:rsidRPr="00E10F43"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75 до 100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100 до 150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131,0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159,3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150 до 200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221,1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224,0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198,3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212,5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241,5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200 до 300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353,8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287,0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368,5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318,4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363,0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355,8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371,0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свыше 300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395,7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377,8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590,3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541,5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500,4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2. Объем возводимых сооружений, 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7755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7940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9088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9202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10580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10735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3. Объем возводимых передаточных устройств, 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415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4. Вводимые административно-хозяйственные корпуса, тыс.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6" type="#_x0000_t75" style="width:16.2pt;height:16.2pt" o:ole="" fillcolor="window">
                  <v:imagedata r:id="rId15" o:title=""/>
                </v:shape>
                <o:OLEObject Type="Embed" ProgID="Equation.3" ShapeID="_x0000_i1026" DrawAspect="Content" ObjectID="_1673726783" r:id="rId17"/>
              </w:objec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68,4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51,3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73,0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85,4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80,2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5. Вводимые эстакады открытые железобетонные, тыс.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7" type="#_x0000_t75" style="width:16.2pt;height:16.2pt" o:ole="" fillcolor="window">
                  <v:imagedata r:id="rId15" o:title=""/>
                </v:shape>
                <o:OLEObject Type="Embed" ProgID="Equation.3" ShapeID="_x0000_i1027" DrawAspect="Content" ObjectID="_1673726784" r:id="rId18"/>
              </w:objec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3,34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3,61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3,67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3,77</w:t>
            </w:r>
          </w:p>
        </w:tc>
      </w:tr>
      <w:tr w:rsidR="00E10F43" w:rsidRPr="00E10F43" w:rsidTr="00F10CEB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Оптовая цена и количество единиц приобретаемого оборудования, млн. руб./шт.: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- 1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44,33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51,82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64,57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68,75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138,00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160,08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- 2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95,85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96,65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136,85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281,73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277,33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277,33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277,33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- 3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16,78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16,78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43,23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53,60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- 4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7,98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7,98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7,98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- 5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69,67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71,25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194,00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206,00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206,00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214,74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214,74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- 6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31,08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31,08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35,71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35,71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93,50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93,50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93,50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(1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- 7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0,35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(6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0,35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(6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0,73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0,73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0,73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0,79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0,85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(9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- 8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225,90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225,90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335,18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365,50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447,60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651,15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651,15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(3 шт.)</w:t>
            </w:r>
          </w:p>
        </w:tc>
      </w:tr>
      <w:tr w:rsidR="00E10F43" w:rsidRPr="00E10F43" w:rsidTr="00F10CEB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- 9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(4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6,50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(4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18,65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- 10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6,25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7,80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7,56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10,10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10,10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12,00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12,00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(2 шт.)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7. Затраты на демонтаж, млн. руб.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8,77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9,20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22,48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23,66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24,58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25,43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27,39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8. Остаточная стоимость демонтируемого оборудования, млн. руб.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4,77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6,83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9,23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10,50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14,22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16,28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9. Цена металлолома, руб./т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944,50</w:t>
            </w:r>
          </w:p>
        </w:tc>
      </w:tr>
      <w:tr w:rsidR="00E10F43" w:rsidRPr="00E10F43" w:rsidTr="00F10CEB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10. Масса демонтируемого оборудования, 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5940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5128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8814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9208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9762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9812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10324</w:t>
            </w:r>
          </w:p>
        </w:tc>
      </w:tr>
    </w:tbl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 расчетах использовать у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крупненные показатели стоимости зданий различного назначения, сооружений и передаточных устройств, представленные в таблице 3.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Таблица 3 - 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Укрупненные показатели стоимости зданий различного назначения, сооружений и передаточных устройств с накладными расходами в ценах 2002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7"/>
        <w:gridCol w:w="2541"/>
      </w:tblGrid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Наименование объектов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Стоимость,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руб./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8" type="#_x0000_t75" style="width:16.2pt;height:16.2pt" o:ole="" fillcolor="window">
                  <v:imagedata r:id="rId15" o:title=""/>
                </v:shape>
                <o:OLEObject Type="Embed" ProgID="Equation.3" ShapeID="_x0000_i1028" DrawAspect="Content" ObjectID="_1673726785" r:id="rId19"/>
              </w:objec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1 Одноэтажный промышленный корпус со сборным металлическим или железобетонным каркасом строительным объемом, тыс.</w:t>
            </w: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9" type="#_x0000_t75" style="width:16.2pt;height:16.2pt" o:ole="" fillcolor="window">
                  <v:imagedata r:id="rId15" o:title=""/>
                </v:shape>
                <o:OLEObject Type="Embed" ProgID="Equation.3" ShapeID="_x0000_i1029" DrawAspect="Content" ObjectID="_1673726786" r:id="rId20"/>
              </w:object>
            </w:r>
            <w:r w:rsidRPr="00E10F43"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до 50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371,25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50 до 75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332,64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75 до 100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289,90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100 до 150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247,50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150 до 200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206,42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от 200 до 300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186,52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- свыше 300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166,32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 Многоэтажные промышленные корпуса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485 – 580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10F43">
              <w:rPr>
                <w:rFonts w:ascii="Times New Roman" w:hAnsi="Times New Roman" w:cs="Times New Roman"/>
                <w:lang w:val="ru-RU"/>
              </w:rPr>
              <w:t>3 Административно-хозяйственные корпуса и здания бытового назначения двух- и трехэтажные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520 – 620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 Насосные, котельные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415 – 480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 Эстакады открытые железобетонные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583,75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 Силосные корпуса железобетонные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414,15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 Сооружения, руб./т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18280</w:t>
            </w:r>
          </w:p>
        </w:tc>
      </w:tr>
      <w:tr w:rsidR="00E10F43" w:rsidRPr="00E10F43" w:rsidTr="00F10CEB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8 Передаточные устройства, руб./т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7045</w:t>
            </w:r>
          </w:p>
        </w:tc>
      </w:tr>
    </w:tbl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Моделирование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инвестиционной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инновационных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процессов: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методики,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инструментарий,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проектный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анализ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2.1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процессов: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инструментарий,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подходы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понимается под альтернативными инвестиционными проектами?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Какие основные стадии выделяются на типовом графике инвестиционного процесса промышленного предприятия?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Дайте общую характеристику денежных потоков инвестиционного проекта? </w:t>
      </w:r>
      <w:r w:rsidRPr="00E10F43">
        <w:rPr>
          <w:rFonts w:ascii="Times New Roman" w:hAnsi="Times New Roman" w:cs="Times New Roman"/>
          <w:sz w:val="24"/>
          <w:szCs w:val="24"/>
        </w:rPr>
        <w:t>Что понимается под чистыми денежными потоками?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Что понимается под инвестиционными (капитальными затратами) предприятия? </w:t>
      </w:r>
      <w:r w:rsidRPr="00E10F43">
        <w:rPr>
          <w:rFonts w:ascii="Times New Roman" w:hAnsi="Times New Roman" w:cs="Times New Roman"/>
          <w:sz w:val="24"/>
          <w:szCs w:val="24"/>
        </w:rPr>
        <w:t>В чем их отличие от текущих (эксплуатационных) затрат предприятия?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смета капитальных (инвестиционных) затрат проекта?</w:t>
      </w:r>
    </w:p>
    <w:p w:rsidR="00E10F43" w:rsidRPr="00E10F43" w:rsidRDefault="00E10F43" w:rsidP="00E10F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 чем заключается особенность упрощенной методики оценки объема инвестиционных затрат предприятия (проекта)?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занятиях):</w:t>
      </w:r>
    </w:p>
    <w:p w:rsidR="00E10F43" w:rsidRPr="00E10F43" w:rsidRDefault="00E10F43" w:rsidP="00E10F43">
      <w:pPr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Сущность и состав инновационного проекта как форма инновационной деятельности.</w:t>
      </w:r>
    </w:p>
    <w:p w:rsidR="00E10F43" w:rsidRPr="00E10F43" w:rsidRDefault="00E10F43" w:rsidP="00E10F43">
      <w:pPr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Бизнес-план инновационного проекта, его структура и содержание основных разделов.</w:t>
      </w:r>
    </w:p>
    <w:p w:rsidR="00E10F43" w:rsidRPr="00E10F43" w:rsidRDefault="00E10F43" w:rsidP="00E10F43">
      <w:pPr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Инвестиции как форма финансирования инновационной деятельности. Смета капитальных затрат инновационного проекта.</w:t>
      </w:r>
    </w:p>
    <w:p w:rsidR="00E10F43" w:rsidRPr="00E10F43" w:rsidRDefault="00E10F43" w:rsidP="00E10F43">
      <w:pPr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Инновационный риск: сущность, идентификация, анализ и оценка. Методы идентификации и оценки инновационного риска. </w:t>
      </w:r>
      <w:r w:rsidRPr="00E10F43">
        <w:rPr>
          <w:rFonts w:ascii="Times New Roman" w:eastAsia="Calibri" w:hAnsi="Times New Roman" w:cs="Times New Roman"/>
          <w:sz w:val="24"/>
          <w:szCs w:val="24"/>
        </w:rPr>
        <w:t>Управление инновационным риском.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Тестовые задания: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1 Что понимается под инновационным проектом: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форма целевого управления инновационной деятельностью;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комплект документов;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оба ответа верны;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2 Что не относится к источникам финансирования инновационного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собственные средства;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оборотные средства;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заемные средства;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целевое финансирование и поступления;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3 Как подразделяются инновационные проекты по масштабу решаемых задач: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монопроекты;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гиперпроекты;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мегарпоекты;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сложносоставные проекты;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д) мультипроекты;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Какие основные этапы внедрения управленческих инноваций можно выделить: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оценка готовности организации к нововведению, пилотное обследование, внедрение;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оценка готовности организации к нововведению, пилотное обследование, внедрение, контроль;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оценка готовности организации к нововведению, разработка и осуществление программы нововведений, контроль, экономическая экспертиза возможных изменений;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оценка готовности организации к нововведению, разработка и осуществление программы нововведений, контроль над внедрением;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Выделите коллективные методы экспертной оценки инновационного проекта: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 «интервью»;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«мозгового штурма»;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морфологического анализа;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Дельфийский метод;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метод парных корреляций;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Какая компания специализируется на внедрении неиспользованных патентов владельцами технологий, продвижении на рынок лицензий, доведении изобретений до промышленной кондиции, производстве небольших партий изделий с последующей продажей лицензий: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венчурная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инжиниринговая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внедренческая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профитцентр;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Какая компания представляет собой временное целевое объединение научных работников нескольких смежных отраслей науки и техники, а также менеджеров для решения конкретных научно-технических или производственных задач: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венчурная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инжиниринговая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внедренческая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профитцентр;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Какая компания представляет собой соединительное звено между научными исследованиями и разработками и между нововведениями и производством: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венчурная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инжиниринговая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внедренческая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профитцентр;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 Что понимается под временной организационной структурой, занятой разработкой научных идей и превращением их в новые технологии и продукты, создаваемые с целью апробации, доработки и доведения до промышленной реализации «рисковых» инноваций: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венчурная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инжиниринговая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внедренческая компания;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профитцентр;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</w:t>
      </w: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 называются рисковые компании, которые обычно создаются в областях предпринимательской деятельности, связанных с повышенной опасностью потерпеть убытки: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лизинговые;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факторинговые;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венчурные;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внедренческие;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д) франчайзинговые;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 Укажите обязательное условие устойчивости (финансовой состоятельности) инновационного проекта: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достаточность финансовых резервов;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неотрицательное сальдо денежных потоков на всех интервалах планирования проекта;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превышение собственных источников финансирования над заемными;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отсутствие просроченных кредитов и займов;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 Укажите более предпочтительный вариант инновационного проекта: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приведенные затраты 2 млн. руб.;</w:t>
      </w:r>
    </w:p>
    <w:p w:rsidR="00E10F43" w:rsidRPr="00E10F43" w:rsidRDefault="00E10F43" w:rsidP="00E10F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приведенные затраты 3 млн. руб.;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приведенные затраты 4 млн. руб.;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bCs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приведенные затраты 5 млн. руб.;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13 Какой показатель характеризуется соотношением наиболее ликвидных активов и наиболее срочных и краткосрочных обязательств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14 Какой показатель характеризуется соотношением наиболее ликвидных и быстрореализуемых активов и наиболее срочных и краткосрочных обязательств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15 Какой показатель характеризуется соотношением наиболее ликвидных, быстрореализуемых и медленно реализуемых активов и наиболее срочных и краткосрочных обязательств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16 Какой показатель характеризуется соотношением наиболее срочных, краткосрочных и долгосрочных обязательств и активов проекта: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2. Оценка финансовой состоятельности (платежеспособности) проекта.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Исходная информация для расчетов представлена в таблице 1 и характеризуют состояние активов и пассивов проекта по состоянию на конец 2015 и 2016 гг. (по данным проектной финансовой отчетности).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Таблица 1 – Исходные данные для оценки финансовой состоятельности (платежеспособности) проекта по состоянию на конец 2015 и 2016 гг., млн. руб.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"/>
        <w:gridCol w:w="4179"/>
        <w:gridCol w:w="1231"/>
        <w:gridCol w:w="12"/>
        <w:gridCol w:w="1218"/>
        <w:gridCol w:w="16"/>
        <w:gridCol w:w="16"/>
        <w:gridCol w:w="1204"/>
        <w:gridCol w:w="15"/>
        <w:gridCol w:w="1384"/>
      </w:tblGrid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показателей</w:t>
            </w:r>
          </w:p>
        </w:tc>
        <w:tc>
          <w:tcPr>
            <w:tcW w:w="2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Вариант - 1</w:t>
            </w:r>
          </w:p>
        </w:tc>
        <w:tc>
          <w:tcPr>
            <w:tcW w:w="2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Вариант - 2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ВНЕОБОРОТНЫЕ 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Нематериальные 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Основные средства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32108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39430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38022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40537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3. Незавершенное строительство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Доходные вложения в материальные ценности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5. Долгосрочные финансовые вложения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6. Прочие внеоборотные 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I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33668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41320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38836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41464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т.ч. неходовые материальные ценности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ОБОРОТНЫЕ 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Запасы: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21773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23078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23078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26006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сырье, материалы и др.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затраты в незавершенном производстве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готовая продукция и товары для продажи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товары отгруженные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расходы будущих периодов</w:t>
            </w:r>
          </w:p>
          <w:p w:rsidR="00E10F43" w:rsidRPr="00E10F43" w:rsidRDefault="00E10F43" w:rsidP="00E10F43">
            <w:pPr>
              <w:numPr>
                <w:ilvl w:val="0"/>
                <w:numId w:val="11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прочие запасы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19383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20046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2618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19023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892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3100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21516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3499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НДС по приобретенным ценностям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3179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3259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3620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3872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Дебиторская задолженность (платежи более чем через 12 месяцев после отчетной даты)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1 055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т.ч. покупатели и заказчики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Дебиторская задолженность (платежи в течение 12 месяцев после отчетной даты)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16377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18400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12484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14501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т.ч. покупатели и заказчики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4410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4687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2607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5. Авансы выданные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6. Прочие дебиторы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1063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7. Краткосрочные финансовые вложения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4082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3892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1855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8. Денежные средства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9. Прочие оборотные 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II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48578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51824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43705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48747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активов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82246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93144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82541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90211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КАПИТАЛ И РЕЗЕРВЫ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Уставный капитал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21750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21750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25550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25550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Добавочный капитал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983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1309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3. Резервный капитал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5834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5834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6699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6753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4. Нераспределенная прибыль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2866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7025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6975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10336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III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31433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35659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40446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43948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ДОЛГОСРОЧНЫЕ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Займы и кредиты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14255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16810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10093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11092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Прочие долгосрочные 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IV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14558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17260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10445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11380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КРАТКОСРОЧНЫЕ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 Займы и кредиты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21734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25629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18840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21045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 Кредиторская задолженность: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12937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12740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11187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12528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numPr>
                <w:ilvl w:val="0"/>
                <w:numId w:val="13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поставщики и подрядчики</w:t>
            </w:r>
          </w:p>
          <w:p w:rsidR="00E10F43" w:rsidRPr="00E10F43" w:rsidRDefault="00E10F43" w:rsidP="00E10F43">
            <w:pPr>
              <w:numPr>
                <w:ilvl w:val="0"/>
                <w:numId w:val="13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задолженность перед персоналом</w:t>
            </w:r>
          </w:p>
          <w:p w:rsidR="00E10F43" w:rsidRPr="00E10F43" w:rsidRDefault="00E10F43" w:rsidP="00E10F43">
            <w:pPr>
              <w:numPr>
                <w:ilvl w:val="0"/>
                <w:numId w:val="13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задолженность перед государственными внебюджетными фондами</w:t>
            </w:r>
          </w:p>
          <w:p w:rsidR="00E10F43" w:rsidRPr="00E10F43" w:rsidRDefault="00E10F43" w:rsidP="00E10F43">
            <w:pPr>
              <w:numPr>
                <w:ilvl w:val="0"/>
                <w:numId w:val="13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задолженность по налогам и сборам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11711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11375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887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10286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11509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3. Авансы полученные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772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4. Прочие кредиторы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Задолженность перед учредителями по выплате доходов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6. Доходы будущих периодов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866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7. Резервы предстоящих расходов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8. Прочие краткосрочные 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по разделу V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36255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40225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31650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34883</w:t>
            </w:r>
          </w:p>
        </w:tc>
      </w:tr>
      <w:tr w:rsidR="00E10F43" w:rsidRPr="00E10F43" w:rsidTr="00F10CEB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Итого пассивов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82246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93144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82541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90211</w:t>
            </w:r>
          </w:p>
        </w:tc>
      </w:tr>
      <w:tr w:rsidR="00E10F43" w:rsidRPr="00E10F43" w:rsidTr="00F10CEB">
        <w:trPr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41178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45633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40989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44878</w:t>
            </w:r>
          </w:p>
        </w:tc>
      </w:tr>
      <w:tr w:rsidR="00E10F43" w:rsidRPr="00E10F43" w:rsidTr="00F10CEB">
        <w:trPr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Чистая прибыль компании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6835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9822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9118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8327</w:t>
            </w:r>
          </w:p>
        </w:tc>
      </w:tr>
      <w:tr w:rsidR="00E10F43" w:rsidRPr="00E10F43" w:rsidTr="00F10CEB">
        <w:trPr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Величина реинвестируемой чистой прибыли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3465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3922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3198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3477</w:t>
            </w:r>
          </w:p>
        </w:tc>
      </w:tr>
    </w:tbl>
    <w:p w:rsidR="00E10F43" w:rsidRPr="00E10F43" w:rsidRDefault="00E10F43" w:rsidP="00E10F4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Ликвидность баланса можно оценить с помощью показателей (коэффициентов) ликвидности, которые достаточно характеризуют степень устойчивости финансового состояния и кредитоспособности (платежеспособности) хозяйствующего субъекта:</w:t>
      </w:r>
    </w:p>
    <w:p w:rsidR="00E10F43" w:rsidRPr="00E10F43" w:rsidRDefault="00E10F43" w:rsidP="00E10F43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коэффициент абсолютной ликвидности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коэффициент критической ликвидности;</w:t>
      </w:r>
    </w:p>
    <w:p w:rsidR="00E10F43" w:rsidRPr="00E10F43" w:rsidRDefault="00E10F43" w:rsidP="00E10F43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коэффициент текущей ликвидности;</w:t>
      </w:r>
    </w:p>
    <w:p w:rsidR="00E10F43" w:rsidRPr="00E10F43" w:rsidRDefault="00E10F43" w:rsidP="00E10F43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коэффициент общей платежеспособности.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Показатели (коэффициенты) рентабельности инвестиционного проекта характеризуют эффективность текущей производственной деятельности, прибыльность или доходность капитала, ресурсов и продукции проекта. В общем случае эффективность хозяйственной деятельности измеряется одним из двух способов. Первый способ предусматривает отражение прибыльности эксплуатации проекта относительно величины авансированных ресурсов, второй – относительно величины потребленных ресурсов (затрат) в процессе производства. Для оценки эффективности хозяйственной деятельности проекта могут быть использованы следующие показатели рентабельности: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рентабельность общих активов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рентабельность постоянного капитала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рентабельность акционерного капитала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рентабельность продаж;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стоимость продаж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оценки уровня деловой активности проекта могут быть использованы следующие показатели оборачиваемости: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оборачиваемость активов</w:t>
      </w:r>
      <w:r w:rsidRPr="00E10F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оборачиваемость постоянного капитала;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оборачиваемость акционерного капитала;</w:t>
      </w:r>
    </w:p>
    <w:p w:rsidR="00E10F43" w:rsidRPr="00E10F43" w:rsidRDefault="00E10F43" w:rsidP="00E10F4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оборачиваемость оборотного капитала.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</w:rPr>
        <w:t>Практические аудиторные задания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Сумма первоначальных инвестиций в инвестиционный проект составила 5000 тыс. руб., ожидаемые ежегодные поступления денежных средств от реализации проекта распределились по годам следующим образом: 1-й год – 1500 тыс. руб., 2-й год – 1500 тыс. руб., 3-й год – 2400 тыс. руб. Определить срок окупаемости проекта с точностью до 1 месяца.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2 Сумма первоначальных инвестиций в инвестиционный проект составила 16000 тыс. руб., ожидаемые ежегодные поступления денежных средств от реализации проекта распределились по годам следующим образом: 1-й год – 4000 тыс. руб., 2-й год – 8000 тыс. руб., 3-й год – 8000 тыс. руб., ставка дисконта 9%. Определить дисконтированный срок окупаемости проекта с точностью до 1 месяца.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3 Компания собирается приобрести новую технологическую линию стоимостью 200 млн. руб. со сроком эксплуатации пять лет, внедрение которой позволит обеспечить дополнительные ежегодные денежные поступления в 50 млн. руб. Требуемая норма доходности составляет 11%. Определить </w:t>
      </w:r>
      <w:r w:rsidRPr="00E10F43">
        <w:rPr>
          <w:rFonts w:ascii="Times New Roman" w:hAnsi="Times New Roman" w:cs="Times New Roman"/>
          <w:sz w:val="24"/>
          <w:szCs w:val="24"/>
        </w:rPr>
        <w:t>NPV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проекта. Установить целесообразность реализации данного проекта.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 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Предприятию необходимо обновить технологическую линию стоимостью 1250 тыс. руб. Периодичность финансирования инвестиционного проекта: 1-й год – 500 тыс. руб., 2-й год – 500 тыс. руб., 3-й год – 2500 тыс. руб. Денежные потоки от реализации данного инвестиционного проекта распределяют по годам его реализации следующим образом: 1-й год – 200 тыс. руб., 2-й год – 500 тыс. руб., 3-й год – 750 тыс. руб. Ожидаемая норма прибыли 10%. На основе расчета чистой дисконтированной стоимости инвестиционного проекта необходимо сформировать решение о целесообразности его реализации.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5 Первоначальные инвестиции 1600 млн. руб., срок эксплуатации проекта 5 лет, общий объем денежных поступлений – 1733 млн. руб. Денежные поступления поступают неравномерно: в 1-й год – 127 млн. руб., во 2-й год – 254 млн. руб., в 3-й год – 382 млн. руб., в 4-й год – 450 млн. руб., в 5-й год – 520 млн. руб. Определить внутреннюю норму доходности инвестиционного проекта методом итерации и линейной интерполяции.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6 Для проекта с начальными инвестициями в 250 млн. руб., в котором предполагаются равномерные ежегодные поступления в размере 90 млн. руб. Определить срок окупаемости проекта, если ставка дисконтирования равна 10%.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Примерные индивидуальные домашние (творческие) задания: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Особенности формирования финансовых потоков </w:t>
      </w:r>
      <w:r w:rsidRPr="00E10F43">
        <w:rPr>
          <w:rFonts w:ascii="Times New Roman" w:hAnsi="Times New Roman" w:cs="Times New Roman"/>
          <w:bCs/>
          <w:sz w:val="24"/>
          <w:szCs w:val="24"/>
        </w:rPr>
        <w:t>CF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инновационного проекта: притоки и оттоки денежных средств, экономико-математическое моделирование.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2 Применение метода аналогий в прогнозировании исходных параметров для оценки доходности инновационного проекта.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3 Особенности расчета показателей доходности инновационного проекта в постоянных и текущих ценах.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4 Возможности оценки инновационного риска на основе варьирования ставки сравнения (коэффициента дисконтирования) проекта.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5 Выбор критериев оценки доходности инновационных проектов в условиях долгосрочных инвестиционных программ.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6 Выбор критериев оценки доходности инновационных проектов в условиях среднесрочных инвестиционных программ.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7 Выбор критериев оценки доходности инновационных проектов в условиях краткосрочных инвестиционных программ.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8 Методы выбора ставки сравнения (коэффициента дисконтирования) инновационного проекта на основе среднеотраслевой стоимости капитала.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9 Методы выбора ставки сравнения (коэффициента дисконтирования) инновационного проекта на основе средневзвешенной стоимости капитала.</w:t>
      </w:r>
    </w:p>
    <w:p w:rsidR="00E10F43" w:rsidRPr="00E10F43" w:rsidRDefault="00E10F43" w:rsidP="00E10F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10 Методы выбора ставки сравнения (коэффициента дисконтирования) инновационного проекта на основе ставки </w:t>
      </w:r>
      <w:r w:rsidRPr="00E10F43">
        <w:rPr>
          <w:rFonts w:ascii="Times New Roman" w:hAnsi="Times New Roman" w:cs="Times New Roman"/>
          <w:bCs/>
          <w:sz w:val="24"/>
          <w:szCs w:val="24"/>
        </w:rPr>
        <w:t>LIBOR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уровня инновационного риска.</w:t>
      </w:r>
    </w:p>
    <w:p w:rsidR="00E10F43" w:rsidRPr="00E10F43" w:rsidRDefault="00E10F43" w:rsidP="00E10F43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2.2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коммерческой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привлекательности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проектов: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анализ.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Укажите общие критерии привлекательности инвестиционных проектов в соответствии с методикой </w:t>
      </w:r>
      <w:r w:rsidRPr="00E10F43">
        <w:rPr>
          <w:rFonts w:ascii="Times New Roman" w:hAnsi="Times New Roman" w:cs="Times New Roman"/>
          <w:sz w:val="24"/>
          <w:szCs w:val="24"/>
        </w:rPr>
        <w:t>UNIDO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 чем сущность простых (статистических) методов оценки экономической эффективности инвестиций предприятия?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 чем сущность методов дисконтирования, используемых для анализа экономической эффективности инвестиций предприятия?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ставка сравнения, применяемая в инвестиционных расчетах?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Что понимается под чистой текущей стоимостью </w:t>
      </w:r>
      <w:r w:rsidRPr="00E10F43">
        <w:rPr>
          <w:rFonts w:ascii="Times New Roman" w:hAnsi="Times New Roman" w:cs="Times New Roman"/>
          <w:sz w:val="24"/>
          <w:szCs w:val="24"/>
        </w:rPr>
        <w:t>(доходностью, прибыльностью) инвестиций?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Что понимается под внутренней нормой прибыли инвестиционного проекта?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Какими методами проводится оценка периода окупаемости инвестиционных затрат предприятия?</w:t>
      </w:r>
    </w:p>
    <w:p w:rsidR="00E10F43" w:rsidRPr="00E10F43" w:rsidRDefault="00E10F43" w:rsidP="00E10F43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Как используется показатель дюрации инвестиций для анализа денежных доходов проекта?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E10F43" w:rsidRPr="00E10F43" w:rsidRDefault="00E10F43" w:rsidP="00E10F43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Практическое задание № 3.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Расчет показателей доходности инновационного проекта строительства новой технологической линии.</w:t>
      </w:r>
    </w:p>
    <w:p w:rsidR="00E10F43" w:rsidRPr="00E10F43" w:rsidRDefault="00E10F43" w:rsidP="00E10F43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Используя данные, приведенные ниже, рассчитать показатели прибыльности (доходности) вариантов строительства технологической линии. На основе полученных расчетом значений показателей чистой текущей стоимости </w:t>
      </w:r>
      <w:r w:rsidRPr="00E10F43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467FBC04" wp14:editId="2D5CB6E7">
            <wp:extent cx="371475" cy="180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, внутренней нормы прибыли </w:t>
      </w:r>
      <w:r w:rsidRPr="00E10F43">
        <w:rPr>
          <w:rFonts w:ascii="Times New Roman" w:eastAsiaTheme="minorHAnsi" w:hAnsi="Times New Roman" w:cs="Times New Roman"/>
          <w:position w:val="-4"/>
          <w:sz w:val="24"/>
          <w:szCs w:val="24"/>
        </w:rPr>
        <w:object w:dxaOrig="465" w:dyaOrig="255">
          <v:shape id="_x0000_i1030" type="#_x0000_t75" style="width:23.4pt;height:12.6pt" o:ole="">
            <v:imagedata r:id="rId22" o:title=""/>
          </v:shape>
          <o:OLEObject Type="Embed" ProgID="Equation.3" ShapeID="_x0000_i1030" DrawAspect="Content" ObjectID="_1673726787" r:id="rId23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, рентабельности инвестиций </w:t>
      </w:r>
      <w:r w:rsidRPr="00E10F43">
        <w:rPr>
          <w:rFonts w:ascii="Times New Roman" w:eastAsiaTheme="minorHAnsi" w:hAnsi="Times New Roman" w:cs="Times New Roman"/>
          <w:position w:val="-6"/>
          <w:sz w:val="24"/>
          <w:szCs w:val="24"/>
          <w:lang w:val="ru-RU"/>
        </w:rPr>
        <w:object w:dxaOrig="705" w:dyaOrig="285">
          <v:shape id="_x0000_i1031" type="#_x0000_t75" style="width:35.4pt;height:14.4pt" o:ole="">
            <v:imagedata r:id="rId24" o:title=""/>
          </v:shape>
          <o:OLEObject Type="Embed" ProgID="Equation.3" ShapeID="_x0000_i1031" DrawAspect="Content" ObjectID="_1673726788" r:id="rId25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выбрать оптимальный вариант инвестиций. Ставку сравнения </w:t>
      </w:r>
      <w:r w:rsidRPr="00E10F43">
        <w:rPr>
          <w:rFonts w:ascii="Times New Roman" w:eastAsiaTheme="minorHAnsi" w:hAnsi="Times New Roman" w:cs="Times New Roman"/>
          <w:position w:val="-4"/>
          <w:sz w:val="24"/>
          <w:szCs w:val="24"/>
          <w:lang w:val="ru-RU"/>
        </w:rPr>
        <w:object w:dxaOrig="405" w:dyaOrig="255">
          <v:shape id="_x0000_i1032" type="#_x0000_t75" style="width:20.4pt;height:12.6pt" o:ole="">
            <v:imagedata r:id="rId26" o:title=""/>
          </v:shape>
          <o:OLEObject Type="Embed" ProgID="Equation.3" ShapeID="_x0000_i1032" DrawAspect="Content" ObjectID="_1673726789" r:id="rId27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рекомендуется принять в размере 0,10. Расчет вести в постоянных ценах. Ликвидационную стоимость проекта </w:t>
      </w:r>
      <w:r w:rsidRPr="00E10F43">
        <w:rPr>
          <w:rFonts w:ascii="Times New Roman" w:eastAsiaTheme="minorHAnsi" w:hAnsi="Times New Roman" w:cs="Times New Roman"/>
          <w:position w:val="-12"/>
          <w:sz w:val="24"/>
          <w:szCs w:val="24"/>
          <w:lang w:val="ru-RU"/>
        </w:rPr>
        <w:object w:dxaOrig="285" w:dyaOrig="360">
          <v:shape id="_x0000_i1033" type="#_x0000_t75" style="width:14.4pt;height:18.6pt" o:ole="" fillcolor="window">
            <v:imagedata r:id="rId28" o:title=""/>
          </v:shape>
          <o:OLEObject Type="Embed" ProgID="Equation.3" ShapeID="_x0000_i1033" DrawAspect="Content" ObjectID="_1673726790" r:id="rId29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предлагается оценивать по остаточной стоимости основных средств проекта. Первоначальную стоимость основных средств можно принять в размере 92,5% от общего объема капиталовложений в проект.</w:t>
      </w:r>
    </w:p>
    <w:p w:rsidR="00E10F43" w:rsidRPr="00E10F43" w:rsidRDefault="00E10F43" w:rsidP="00E10F43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Таблица 1 – Основные показатели альтернативных вариантов инвестиционного проекта строительства технологической линии, млн.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"/>
        <w:gridCol w:w="2707"/>
        <w:gridCol w:w="974"/>
        <w:gridCol w:w="1011"/>
        <w:gridCol w:w="1048"/>
        <w:gridCol w:w="1048"/>
        <w:gridCol w:w="1048"/>
        <w:gridCol w:w="1004"/>
      </w:tblGrid>
      <w:tr w:rsidR="00E10F43" w:rsidRPr="00E10F43" w:rsidTr="00F10CEB">
        <w:tc>
          <w:tcPr>
            <w:tcW w:w="56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инвестиционных проектов</w:t>
            </w:r>
          </w:p>
        </w:tc>
        <w:tc>
          <w:tcPr>
            <w:tcW w:w="9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   а   р   и   а   н   т   ы</w:t>
            </w:r>
          </w:p>
        </w:tc>
      </w:tr>
      <w:tr w:rsidR="00E10F43" w:rsidRPr="00E10F43" w:rsidTr="00F10CEB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19.61,3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7266,4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9492,3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5064,4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4758,4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2416,3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3480,0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11870,7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14079,6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11949,7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14080,7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4047,3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5256,9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19466,2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22542,2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16511,1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20794,6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Выручка от прочей реализации: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133,0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363,4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379,5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216,6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201,0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Текущие расходы: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773,3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790,0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2422,1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3723,3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2032,6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2063,3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912,6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1188,4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3992,6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5265,7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4046,7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4401,5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1298,0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1564,0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6301,7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7102,0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5238,0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6156,7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Прочие расходы: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353,6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364,4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254,4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256,0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532,1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601,2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427,8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460,3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225,0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1075,8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935,9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821,2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873,3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E10F43" w:rsidRPr="00E10F43" w:rsidTr="00F10CE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Налоговые платежи: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61,4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55,1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722,0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3343,2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4298,5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2129,6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1881,5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1068,5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1598,6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5405,3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6331,2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5617,4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5845,4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1837,1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2459,4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8852,9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10308,4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7984,1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7959,6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Капиталовложения: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422,0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562,7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2531,7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3562,2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2083,3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2165,5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485,3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620,1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2828,3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3914,0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2640,4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2404,8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435,1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591,5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2337,5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2411,8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2012,7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2328,8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150,6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188,4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251,4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124,5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131,6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126,1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176,2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86,6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Амортизационные отчисления: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133,3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578,4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741,5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503,3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510,1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114,4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149,1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604,0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760,0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526,5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527,0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E10F43" w:rsidRPr="00E10F43" w:rsidTr="00F10C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0F43"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</w:tbl>
    <w:p w:rsidR="00E10F43" w:rsidRPr="00E10F43" w:rsidRDefault="00E10F43" w:rsidP="00E10F4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4. Расчет периода окупаемости и дюрации инвестиций.</w:t>
      </w:r>
    </w:p>
    <w:p w:rsidR="00E10F43" w:rsidRPr="00E10F43" w:rsidRDefault="00E10F43" w:rsidP="00E1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/>
          <w:sz w:val="24"/>
          <w:szCs w:val="24"/>
          <w:lang w:val="ru-RU"/>
        </w:rPr>
        <w:t xml:space="preserve">Используя данные, приведенные выше, в таблице 1, рассчитать показатели периода окупаемости капиталовложений и дюрации инвестиций по вариантам строительства завода. На основе полученных расчетом значений показателей выбрать оптимальный вариант инвестиций. Период окупаемости капиталовложений не должен превышать 10 лет. Ставку сравнения </w:t>
      </w:r>
      <w:r w:rsidRPr="00E10F43">
        <w:rPr>
          <w:rFonts w:ascii="Times New Roman" w:eastAsiaTheme="minorHAnsi" w:hAnsi="Times New Roman"/>
          <w:position w:val="-4"/>
          <w:sz w:val="24"/>
          <w:szCs w:val="24"/>
          <w:lang w:val="ru-RU"/>
        </w:rPr>
        <w:object w:dxaOrig="405" w:dyaOrig="255">
          <v:shape id="_x0000_i1034" type="#_x0000_t75" style="width:20.4pt;height:12.6pt" o:ole="">
            <v:imagedata r:id="rId30" o:title=""/>
          </v:shape>
          <o:OLEObject Type="Embed" ProgID="Equation.3" ShapeID="_x0000_i1034" DrawAspect="Content" ObjectID="_1673726791" r:id="rId31"/>
        </w:object>
      </w:r>
      <w:r w:rsidRPr="00E10F43">
        <w:rPr>
          <w:rFonts w:ascii="Times New Roman" w:hAnsi="Times New Roman"/>
          <w:sz w:val="24"/>
          <w:szCs w:val="24"/>
          <w:lang w:val="ru-RU"/>
        </w:rPr>
        <w:t xml:space="preserve"> во всех вариантах заданий рекомендуется принять в размере 0,10. Расчет вести в постоянных ценах.</w:t>
      </w:r>
    </w:p>
    <w:p w:rsidR="00E10F43" w:rsidRPr="00E10F43" w:rsidRDefault="00E10F43" w:rsidP="00E10F4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Риски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инвестиционной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инновационной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деятельности,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их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значение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оценки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управления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проектами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E10F43">
        <w:rPr>
          <w:b/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промышленности.</w:t>
      </w: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3.1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всеобщее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экономическая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категория.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Инвестиционные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инновационные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новшеств.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проектных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рисков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промышленности.</w:t>
      </w: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занятиях):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Риск как экономическая категория. Категориальный анализ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Сущность риска как явления и квалиметрические характеристики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Риск как случайное и закономерное явление, вероятность и возможность.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</w:rPr>
        <w:t>Неопределенность как источник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Теория хаоса и теория бифуркаций в исследовании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Концепции риска как теоретический и методологический источник рискологии.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Варианты экономических решений, обремененных риском. </w:t>
      </w:r>
      <w:r w:rsidRPr="00E10F43">
        <w:rPr>
          <w:rFonts w:ascii="Times New Roman" w:eastAsia="Calibri" w:hAnsi="Times New Roman" w:cs="Times New Roman"/>
          <w:sz w:val="24"/>
          <w:szCs w:val="24"/>
        </w:rPr>
        <w:t>Альтернативы.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Принципы системного анализа риска в спектре экономических проблем.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Качественный и количественный анализ риска.</w:t>
      </w:r>
    </w:p>
    <w:p w:rsidR="00E10F43" w:rsidRPr="00E10F43" w:rsidRDefault="00E10F43" w:rsidP="00E10F43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Использование набора показателей для количественной оценки риска.</w:t>
      </w: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Тестовые задания: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1 Укажите наиболее строгое представление о риске как явлении: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ситуация, объективно содержащая высокую вероятность невозможности достижения цели;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наличие факторов, при которых результаты действий не являются детерминированными, а степень возможного влияния этих факторов на результаты неизвестна;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следствие действия (бездействия), в результате чего существует реальная возможность получения неопределенных результатов;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экономическая категория, отражающая возможность достижения или превышения (недостижения, неполного достижения) поставленных целей в условиях неопределенности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2 Какая аксиома рискологии утверждает, что нет безрисковых видов деятельности: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аксиома всеохватности;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аксиома приемлемости;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аксиома неповторяемости;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аксиома диверсификации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3 Какая аксиома рискологии указывает на необходимость категоризации полей рисков и квантификации числовых мер: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аксиома всеохватности;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аксиома приемлемости;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аксиома неповторяемости;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аксиома диверсификации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4 Какая аксиома рискологии утверждает, что любое поле рисков изменяется во времени: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аксиома всеохватности;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аксиома приемлемости;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аксиома неповторяемости;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аксиома диверсификации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5 Укажите возможные последствия реализации риска: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отрицательные;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положительные;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как положительные, так и отрицательные;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нет правильного ответа.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6 Что понимается под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систематизацией множества рисков на основании каких-либо признаков и критериев, позволяющих объединить подмножества рисков в более общие понятия: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sz w:val="24"/>
          <w:szCs w:val="24"/>
          <w:lang w:val="ru-RU"/>
        </w:rPr>
      </w:pPr>
      <w:r w:rsidRPr="00E10F43">
        <w:rPr>
          <w:bCs/>
          <w:sz w:val="24"/>
          <w:szCs w:val="24"/>
          <w:lang w:val="ru-RU"/>
        </w:rPr>
        <w:t>а) идентификация рисков;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sz w:val="24"/>
          <w:szCs w:val="24"/>
          <w:lang w:val="ru-RU"/>
        </w:rPr>
      </w:pPr>
      <w:r w:rsidRPr="00E10F43">
        <w:rPr>
          <w:bCs/>
          <w:sz w:val="24"/>
          <w:szCs w:val="24"/>
          <w:lang w:val="ru-RU"/>
        </w:rPr>
        <w:t>б) управление рисками;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sz w:val="24"/>
          <w:szCs w:val="24"/>
          <w:lang w:val="ru-RU"/>
        </w:rPr>
      </w:pPr>
      <w:r w:rsidRPr="00E10F43">
        <w:rPr>
          <w:bCs/>
          <w:sz w:val="24"/>
          <w:szCs w:val="24"/>
          <w:lang w:val="ru-RU"/>
        </w:rPr>
        <w:t>в) анализ рисков;</w:t>
      </w:r>
    </w:p>
    <w:p w:rsidR="00E10F43" w:rsidRPr="00E10F43" w:rsidRDefault="00E10F43" w:rsidP="00E10F43">
      <w:pPr>
        <w:spacing w:after="0" w:line="240" w:lineRule="auto"/>
        <w:jc w:val="both"/>
        <w:rPr>
          <w:bCs/>
          <w:sz w:val="24"/>
          <w:szCs w:val="24"/>
          <w:lang w:val="ru-RU"/>
        </w:rPr>
      </w:pPr>
      <w:r w:rsidRPr="00E10F43">
        <w:rPr>
          <w:bCs/>
          <w:sz w:val="24"/>
          <w:szCs w:val="24"/>
          <w:lang w:val="ru-RU"/>
        </w:rPr>
        <w:t>г) классификация рисков;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7 Как называются риски, практически всегда несущие потери: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спекулятивные;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чистые;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амбивалентные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8 Как называются риски, которые могут нести как потери, так и дополнительные доходы: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чистые;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спекулятивные;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допустимые;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9 Как называются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риски, обусловленные деятельностью самого предприятия и его контактной аудиторией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чистые;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внешние;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внутренние;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ограниченные.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10 Как называются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риски, в результате реализации которых предприятию грозит потеря выручки (потери превышают ожидаемую прибыль)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допустимые;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катастрофические;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рыночные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11 Как называются р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иски, в результате реализации которых предприятию грозит потеря прибыли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катастрофические;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допустимые;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рыночные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12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 какому виду риска относится разрыв контракта из-за действий властей страны, в которой находится компания-контрагент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экономический;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предпринимательский;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политический;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форс-мажор.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13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Какие из перечисленных рисков относятся к коммерческим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риск, связанный неисполнением сметы инвестиционного проекта;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риск, связанный с невозможностью покрытия пикового спроса на товар;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риск, связанный с колебаниями процентных ставок;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риск, связанный с транспортировкой товара.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 К группе финансовых рисков, связанных с потерей покупательной способности, относятся: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авансовый риск;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риск снижения финансовой устойчивости;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риск ликвидности;</w:t>
      </w:r>
    </w:p>
    <w:p w:rsidR="00E10F43" w:rsidRPr="00E10F43" w:rsidRDefault="00E10F43" w:rsidP="00E10F4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инфляционный риск.</w:t>
      </w:r>
    </w:p>
    <w:p w:rsidR="00E10F43" w:rsidRPr="00E10F43" w:rsidRDefault="00E10F43" w:rsidP="00E10F43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3.2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Идентификация,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рисков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инновационной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E10F43">
        <w:rPr>
          <w:sz w:val="24"/>
          <w:szCs w:val="24"/>
          <w:lang w:val="ru-RU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</w:rPr>
        <w:t>Риск-менеджмент:</w:t>
      </w:r>
      <w:r w:rsidRPr="00E10F43">
        <w:rPr>
          <w:sz w:val="24"/>
          <w:szCs w:val="24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</w:rPr>
        <w:t>страхование,</w:t>
      </w:r>
      <w:r w:rsidRPr="00E10F43">
        <w:rPr>
          <w:sz w:val="24"/>
          <w:szCs w:val="24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</w:rPr>
        <w:t>резервирование,</w:t>
      </w:r>
      <w:r w:rsidRPr="00E10F43">
        <w:rPr>
          <w:sz w:val="24"/>
          <w:szCs w:val="24"/>
        </w:rPr>
        <w:t xml:space="preserve"> </w:t>
      </w:r>
      <w:r w:rsidRPr="00E10F43">
        <w:rPr>
          <w:rFonts w:ascii="Times New Roman" w:hAnsi="Times New Roman" w:cs="Times New Roman"/>
          <w:color w:val="000000"/>
          <w:sz w:val="24"/>
          <w:szCs w:val="24"/>
        </w:rPr>
        <w:t>хеджирование.</w:t>
      </w:r>
    </w:p>
    <w:p w:rsidR="00E10F43" w:rsidRPr="00E10F43" w:rsidRDefault="00E10F43" w:rsidP="00E10F43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10F43" w:rsidRPr="00E10F43" w:rsidRDefault="00E10F43" w:rsidP="00E10F43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Инновационная деятельность как источник рисков.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Классификационная система рисков и ее методологическое значение.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Многолетние статистические наблюдения как основа распределения вероятности страховых случаев и актуарных расчетов.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Анализ валютных рисков при проведении внешнеторговых и валютных кредитных операций..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Анализ валютных рисков при проведении операций на фондовых и валютных биржах.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Неблагоприятная экономическая конъюнктура и деловой риск: анализ и прогнозирование.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Зоны риска и безрисковые зоны как качественные характеристики степени (уровня) риска и методологическое значение кривой Лоренца.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Идентификация риска: разработка перечня возможных рисковых ситуаций, прогнозирование причин и последствий (признаков) их возникновения, классификации и критерии риска.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Коммерческий риск производственно-хозяйственной и финансовой деятельности как результат проявления факторов валютных, политических, предпринимательских, финансовых и иных рисков.</w:t>
      </w:r>
    </w:p>
    <w:p w:rsidR="00E10F43" w:rsidRPr="00E10F43" w:rsidRDefault="00E10F43" w:rsidP="00E10F4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критериев риска для идентификации рисковой ситуации и классификации рисков.</w:t>
      </w:r>
    </w:p>
    <w:p w:rsidR="00E10F43" w:rsidRPr="00E10F43" w:rsidRDefault="00E10F43" w:rsidP="00E10F43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занятиях):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Метод аналогии в оценке и управлении риском и его применение для разработки сценариев действий.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Метод дерева решений: оценка наиболее вероятных результатов, построение пространственно-ориентированного графа.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Метод Монте-Карло как вариант статистических испытаний в оценке и управлении риском в наиболее сложных для прогнозирования расчетах.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Методы портфолио в исследовании рисков: методы портфельной теории, теории случайных блужданий, теории капитальных активов.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Моделирование рисков в прогнозных и проектных расчетах.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идентификации и анализа научно-технических рисков.</w:t>
      </w:r>
    </w:p>
    <w:p w:rsidR="00E10F43" w:rsidRPr="00E10F43" w:rsidRDefault="00E10F43" w:rsidP="00E10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F43">
        <w:rPr>
          <w:rFonts w:ascii="Times New Roman" w:eastAsia="Calibri" w:hAnsi="Times New Roman" w:cs="Times New Roman"/>
          <w:sz w:val="24"/>
          <w:szCs w:val="24"/>
          <w:lang w:val="ru-RU"/>
        </w:rPr>
        <w:t>Феномен неопределенности как источника риска, неполноты или неточности информации, невозможности полного и исчерпывающего анализа всех факторов риска.</w:t>
      </w:r>
    </w:p>
    <w:p w:rsidR="00E10F43" w:rsidRPr="00E10F43" w:rsidRDefault="00E10F43" w:rsidP="00E10F43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Тестовые задания: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1 Как называются р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иски, в результате реализации которых предприятию грозит потеря прибыли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катастрофические;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допустимые;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верны все ответы.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 какому виду риска относится разрыв контракта из-за действий властей страны, в которой находится компания-контрагент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экономический;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предпринимательский;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политический;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форс-мажор.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 какому подвиду экологического риска можно отнести вероятность потерь, вызванных спецификой климатических условий, а также наличием природных ресурсов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природно-климатические риски;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антропогенные;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социальные;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верны все ответы.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 какому подвиду экологического риска можно отнести вероятность потерь, вызванных техногенными катастрофами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антропогенные;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природно-климатические;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социально-бытовые.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увеличению числа непредвиденных аварийных ситуаций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использование устаревшего оборудования;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нестабильность качества товаров и услуг;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ненадежность составляющих технологического процесса;;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отсутствие резервов.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6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низкой эффективности производства по сравнению с конкурентами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ненадежность составляющих технологического процесса;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нестабильность качества товаров и услуг;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отсутствие резервов;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появление новых технологий в отрасли.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7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увеличению затрат на ремонт и модернизацию оборудования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использование устаревшего оборудования;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появление новых технологий в отрасли;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отсутствие резервов;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нестабильность качества товаров и услуг.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8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невозможности покрытия пикового спроса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использование устаревшего оборудования;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выявление новых технологий в отрасли;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отсутствие резервов;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нестабильность качества товаров и услуг.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9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Какой из видов производственного риска приводит к оттоку клиентов и проблемам со спросом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ненадёжность составляющих производственного процесса;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появление новых технологий в отрасли;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нестабильность качества товаров и услуг;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использование устаревшего оборудования.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10 </w:t>
      </w:r>
      <w:r w:rsidRPr="00E10F43">
        <w:rPr>
          <w:rFonts w:ascii="Times New Roman" w:hAnsi="Times New Roman" w:cs="Times New Roman"/>
          <w:bCs/>
          <w:sz w:val="24"/>
          <w:szCs w:val="24"/>
          <w:lang w:val="ru-RU"/>
        </w:rPr>
        <w:t>Какие из перечисленных рисков относятся к коммерческим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а) риск, связанный неисполнением сметы инвестиционного проекта;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б) риск, связанный с невозможностью покрытия пикового спроса на товар;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в) риск, связанный с колебаниями процентных ставок;</w:t>
      </w: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г) риск, связанный с транспортировкой товара.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5. Оценка уровня риска экспертными методами.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Используя критерии провести отбор и сформировать экспертную группу для проведения исследований Дельфийским методом с учетом требований к управленческим кадрам, квалификации и компетенции персонала, что позволяет предотвратить проявления вторичных рисков. Гарантией оптимизации вторичных рисков предприятия, надежности и обоснованности выводов исследований с использованием эвристических методов является правильный подбор экспертов. Группа экспертов, в зависимости от целей и задач конкретного исследования, может включать представителей различных групп взаимосвязанных специальностей, выражающих определенные концепции, мнения и суждения. Для снижения уровня вторичного риска формируется рабочая группа экспертов, которая проводит оценку какого-либо риска и для которых определяется единая процедура экспертного опроса.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Выявить и систематизировать факторы, оказывающих влияние на эффективность размещения промышленной рекламы. При этом рассматриваются следующие факторы: </w:t>
      </w:r>
      <w:r w:rsidRPr="00E10F43"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58E18067" wp14:editId="5E07CA01">
            <wp:extent cx="219075" cy="142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место размещения рекламного средства; </w:t>
      </w:r>
      <w:r w:rsidRPr="00E10F43"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6BDD795A" wp14:editId="2A856E9A">
            <wp:extent cx="247650" cy="15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длительность размещения рекламного средства; </w:t>
      </w:r>
      <w:r w:rsidRPr="00E10F43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5BF0DBFE" wp14:editId="42347524">
            <wp:extent cx="209550" cy="161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уровень престижности спортивных соревнований; </w:t>
      </w:r>
      <w:r w:rsidRPr="00E10F43"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 wp14:anchorId="717EC60F" wp14:editId="27812171">
            <wp:extent cx="247650" cy="152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результативность (успешность) выступлений спортивной команды; </w:t>
      </w:r>
      <w:r w:rsidRPr="00E10F43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1FECA66C" wp14:editId="54B943D1">
            <wp:extent cx="219075" cy="161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- уровень рыночной конъюнктуры рекламы. В эксперименте принимают участие 7 независимых экспертов, в их задачу входит определение ранга каждого фактора по пятибалльной системе. Наименьший по значению ранг присваивается фактору, оказывающему наибольшее влияние на уровень эффективности рекламы.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Оценки экспертов представляются в виде матрицы рангов опроса, в строках которой указываются факторы, а в столбцах – оценки экспертов. Кроме этого, матрица рангов опроса, приведенная в таблице 1, содержит результаты некоторых вычислений – суммы значений рангов по каждому показателю (</w:t>
      </w:r>
      <w:r w:rsidRPr="00E10F43">
        <w:rPr>
          <w:rFonts w:ascii="Times New Roman" w:hAnsi="Times New Roman" w:cs="Times New Roman"/>
          <w:noProof/>
          <w:position w:val="-14"/>
          <w:sz w:val="24"/>
          <w:szCs w:val="24"/>
          <w:lang w:val="ru-RU" w:eastAsia="ru-RU"/>
        </w:rPr>
        <w:drawing>
          <wp:inline distT="0" distB="0" distL="0" distR="0" wp14:anchorId="626B86CF" wp14:editId="521FA3E4">
            <wp:extent cx="304800" cy="22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), средние арифметические значения сумм рангов опроса (</w:t>
      </w:r>
      <w:r w:rsidRPr="00E10F43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22DF42DD" wp14:editId="6A14D460">
            <wp:extent cx="114300" cy="200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), разницы сумм значений рангов опроса и их средних арифметических значений </w:t>
      </w:r>
      <w:r w:rsidRPr="00E10F43">
        <w:rPr>
          <w:rFonts w:ascii="Times New Roman" w:eastAsiaTheme="minorHAnsi" w:hAnsi="Times New Roman" w:cs="Times New Roman"/>
          <w:position w:val="-14"/>
          <w:sz w:val="24"/>
          <w:szCs w:val="24"/>
          <w:lang w:val="ru-RU"/>
        </w:rPr>
        <w:object w:dxaOrig="900" w:dyaOrig="375">
          <v:shape id="_x0000_i1035" type="#_x0000_t75" style="width:45pt;height:18.6pt" o:ole="">
            <v:imagedata r:id="rId39" o:title=""/>
          </v:shape>
          <o:OLEObject Type="Embed" ProgID="Equation.3" ShapeID="_x0000_i1035" DrawAspect="Content" ObjectID="_1673726792" r:id="rId40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, а также значения квадратов этих разниц </w:t>
      </w:r>
      <w:r w:rsidRPr="00E10F43">
        <w:rPr>
          <w:rFonts w:ascii="Times New Roman" w:hAnsi="Times New Roman" w:cs="Times New Roman"/>
          <w:noProof/>
          <w:position w:val="-14"/>
          <w:sz w:val="24"/>
          <w:szCs w:val="24"/>
          <w:lang w:val="ru-RU" w:eastAsia="ru-RU"/>
        </w:rPr>
        <w:drawing>
          <wp:inline distT="0" distB="0" distL="0" distR="0" wp14:anchorId="3C245AA4" wp14:editId="59B61168">
            <wp:extent cx="714375" cy="266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. Значение </w:t>
      </w:r>
      <w:r w:rsidRPr="00E10F43">
        <w:rPr>
          <w:rFonts w:ascii="Times New Roman" w:eastAsiaTheme="minorHAnsi" w:hAnsi="Times New Roman" w:cs="Times New Roman"/>
          <w:position w:val="-6"/>
          <w:sz w:val="24"/>
          <w:szCs w:val="24"/>
          <w:lang w:val="ru-RU"/>
        </w:rPr>
        <w:object w:dxaOrig="180" w:dyaOrig="315">
          <v:shape id="_x0000_i1036" type="#_x0000_t75" style="width:9pt;height:16.2pt" o:ole="">
            <v:imagedata r:id="rId42" o:title=""/>
          </v:shape>
          <o:OLEObject Type="Embed" ProgID="Equation.3" ShapeID="_x0000_i1036" DrawAspect="Content" ObjectID="_1673726793" r:id="rId43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по формуле:</w:t>
      </w: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38C695BA" wp14:editId="356ADD55">
            <wp:extent cx="733425" cy="352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</w:rPr>
        <w:t>.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F43">
        <w:rPr>
          <w:rFonts w:ascii="Times New Roman" w:hAnsi="Times New Roman" w:cs="Times New Roman"/>
          <w:sz w:val="24"/>
          <w:szCs w:val="24"/>
        </w:rPr>
        <w:t>Таблица 1 – Матрица рангов опроса экспертов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668"/>
        <w:gridCol w:w="668"/>
        <w:gridCol w:w="669"/>
        <w:gridCol w:w="669"/>
        <w:gridCol w:w="669"/>
        <w:gridCol w:w="669"/>
        <w:gridCol w:w="669"/>
        <w:gridCol w:w="991"/>
        <w:gridCol w:w="1152"/>
        <w:gridCol w:w="1474"/>
      </w:tblGrid>
      <w:tr w:rsidR="00E10F43" w:rsidRPr="00E10F43" w:rsidTr="00F10CEB">
        <w:trPr>
          <w:trHeight w:val="42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Факторы</w:t>
            </w:r>
          </w:p>
        </w:tc>
        <w:tc>
          <w:tcPr>
            <w:tcW w:w="504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Эксперты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14"/>
              </w:rPr>
              <w:object w:dxaOrig="555" w:dyaOrig="405">
                <v:shape id="_x0000_i1037" type="#_x0000_t75" style="width:27.6pt;height:20.4pt" o:ole="">
                  <v:imagedata r:id="rId45" o:title=""/>
                </v:shape>
                <o:OLEObject Type="Embed" ProgID="Equation.3" ShapeID="_x0000_i1037" DrawAspect="Content" ObjectID="_1673726794" r:id="rId46"/>
              </w:objec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14"/>
              </w:rPr>
              <w:object w:dxaOrig="855" w:dyaOrig="420">
                <v:shape id="_x0000_i1038" type="#_x0000_t75" style="width:42.6pt;height:21pt" o:ole="">
                  <v:imagedata r:id="rId47" o:title=""/>
                </v:shape>
                <o:OLEObject Type="Embed" ProgID="Equation.3" ShapeID="_x0000_i1038" DrawAspect="Content" ObjectID="_1673726795" r:id="rId48"/>
              </w:objec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14"/>
              </w:rPr>
              <w:object w:dxaOrig="1125" w:dyaOrig="465">
                <v:shape id="_x0000_i1039" type="#_x0000_t75" style="width:55.8pt;height:23.4pt" o:ole="">
                  <v:imagedata r:id="rId49" o:title=""/>
                </v:shape>
                <o:OLEObject Type="Embed" ProgID="Equation.3" ShapeID="_x0000_i1039" DrawAspect="Content" ObjectID="_1673726796" r:id="rId50"/>
              </w:object>
            </w:r>
          </w:p>
        </w:tc>
      </w:tr>
      <w:tr w:rsidR="00E10F43" w:rsidRPr="00E10F43" w:rsidTr="00F10CEB"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4"/>
              </w:rPr>
              <w:object w:dxaOrig="360" w:dyaOrig="255">
                <v:shape id="_x0000_i1040" type="#_x0000_t75" style="width:18.6pt;height:12.6pt" o:ole="">
                  <v:imagedata r:id="rId51" o:title=""/>
                </v:shape>
                <o:OLEObject Type="Embed" ProgID="Equation.3" ShapeID="_x0000_i1040" DrawAspect="Content" ObjectID="_1673726797" r:id="rId52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0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4"/>
              </w:rPr>
              <w:object w:dxaOrig="405" w:dyaOrig="255">
                <v:shape id="_x0000_i1041" type="#_x0000_t75" style="width:20.4pt;height:12.6pt" o:ole="">
                  <v:imagedata r:id="rId53" o:title=""/>
                </v:shape>
                <o:OLEObject Type="Embed" ProgID="Equation.3" ShapeID="_x0000_i1041" DrawAspect="Content" ObjectID="_1673726798" r:id="rId54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144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375" w:dyaOrig="285">
                <v:shape id="_x0000_i1042" type="#_x0000_t75" style="width:18.6pt;height:14.4pt" o:ole="">
                  <v:imagedata r:id="rId55" o:title=""/>
                </v:shape>
                <o:OLEObject Type="Embed" ProgID="Equation.3" ShapeID="_x0000_i1042" DrawAspect="Content" ObjectID="_1673726799" r:id="rId56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– 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49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4"/>
              </w:rPr>
              <w:object w:dxaOrig="405" w:dyaOrig="255">
                <v:shape id="_x0000_i1043" type="#_x0000_t75" style="width:20.4pt;height:12.6pt" o:ole="">
                  <v:imagedata r:id="rId57" o:title=""/>
                </v:shape>
                <o:OLEObject Type="Embed" ProgID="Equation.3" ShapeID="_x0000_i1043" DrawAspect="Content" ObjectID="_1673726800" r:id="rId58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– 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121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eastAsiaTheme="minorHAnsi" w:hAnsi="Times New Roman" w:cs="Times New Roman"/>
                <w:position w:val="-6"/>
              </w:rPr>
              <w:object w:dxaOrig="405" w:dyaOrig="285">
                <v:shape id="_x0000_i1044" type="#_x0000_t75" style="width:20.4pt;height:14.4pt" o:ole="">
                  <v:imagedata r:id="rId59" o:title=""/>
                </v:shape>
                <o:OLEObject Type="Embed" ProgID="Equation.3" ShapeID="_x0000_i1044" DrawAspect="Content" ObjectID="_1673726801" r:id="rId60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36</w:t>
            </w:r>
          </w:p>
        </w:tc>
      </w:tr>
      <w:tr w:rsidR="00E10F43" w:rsidRPr="00E10F43" w:rsidTr="00F10CEB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10F43">
              <w:rPr>
                <w:rFonts w:ascii="Times New Roman" w:hAnsi="Times New Roman" w:cs="Times New Roman"/>
              </w:rPr>
              <w:t>350</w:t>
            </w:r>
          </w:p>
        </w:tc>
      </w:tr>
    </w:tbl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 По результатам вычислений, произведенных в матрице рангов, определяется степень согласованности мнений специалистов-экспертов по формуле:</w:t>
      </w:r>
    </w:p>
    <w:p w:rsidR="00E10F43" w:rsidRPr="00E10F43" w:rsidRDefault="00E10F43" w:rsidP="00E10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 wp14:anchorId="5FB9DAC5" wp14:editId="780AB00C">
            <wp:extent cx="2409825" cy="581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степень согласованности мнений экспертов достаточно высокая: </w:t>
      </w:r>
      <w:r w:rsidRPr="00E10F43">
        <w:rPr>
          <w:rFonts w:ascii="Times New Roman" w:eastAsiaTheme="minorHAnsi" w:hAnsi="Times New Roman" w:cs="Times New Roman"/>
          <w:position w:val="-14"/>
          <w:sz w:val="24"/>
          <w:szCs w:val="24"/>
          <w:lang w:val="ru-RU"/>
        </w:rPr>
        <w:object w:dxaOrig="1620" w:dyaOrig="345">
          <v:shape id="_x0000_i1045" type="#_x0000_t75" style="width:81pt;height:17.4pt" o:ole="">
            <v:imagedata r:id="rId62" o:title=""/>
          </v:shape>
          <o:OLEObject Type="Embed" ProgID="Equation.3" ShapeID="_x0000_i1045" DrawAspect="Content" ObjectID="_1673726802" r:id="rId63"/>
        </w:objec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ind w:firstLine="709"/>
        <w:jc w:val="both"/>
        <w:rPr>
          <w:lang w:val="ru-RU"/>
        </w:rPr>
      </w:pPr>
    </w:p>
    <w:p w:rsidR="00E10F43" w:rsidRPr="00E10F43" w:rsidRDefault="00E10F43" w:rsidP="00E10F4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sectPr w:rsidR="00E10F43" w:rsidRPr="00E10F43">
          <w:pgSz w:w="11907" w:h="16840"/>
          <w:pgMar w:top="1134" w:right="1134" w:bottom="1134" w:left="1701" w:header="720" w:footer="720" w:gutter="0"/>
          <w:cols w:space="720"/>
        </w:sectPr>
      </w:pPr>
    </w:p>
    <w:p w:rsidR="00E10F43" w:rsidRPr="00E10F43" w:rsidRDefault="00E10F43" w:rsidP="00E10F43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:rsidR="00E10F43" w:rsidRPr="00E10F43" w:rsidRDefault="00E10F43" w:rsidP="00E10F43">
      <w:pPr>
        <w:keepNext/>
        <w:widowControl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10F43" w:rsidRPr="00E10F43" w:rsidRDefault="00E10F43" w:rsidP="00E10F43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tbl>
      <w:tblPr>
        <w:tblW w:w="513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191"/>
        <w:gridCol w:w="11397"/>
      </w:tblGrid>
      <w:tr w:rsidR="00E10F43" w:rsidRPr="00E10F43" w:rsidTr="00F10CEB">
        <w:trPr>
          <w:trHeight w:val="753"/>
          <w:tblHeader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10F43" w:rsidRPr="00E10F43" w:rsidTr="00F10CE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43" w:rsidRPr="00E10F43" w:rsidRDefault="00E10F43" w:rsidP="00E10F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E10F43" w:rsidRPr="00E10F43" w:rsidTr="00F10CEB">
        <w:trPr>
          <w:trHeight w:val="446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основные методы теоретических и эмпирических исследований в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критерии эффективности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стадии, фазы и этапы  организации инвестиционной и инновационной деятельности;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и роль инноваций в развитии современного промышленного предприятия.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 процессных и продуктовых инноваций промышленного предприятия.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и  роль инвестиций в развитии современного промышленного предприятия.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 реальных и финансовых инвестиций предприятия.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Концепция инновационного менеджмента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государственного регулирования инновационной деятельности в Российской Федерации.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Организационные формы инновационной деятельности.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Проблемы повышения инновационной активности современных организаций.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стратегия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политика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инновационного климата и инновационный потенциал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Конкурентные преимущества и формирование портфелей новшеств и инноваций.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организации НИОКР и проектирования в системе инновационной деятельности.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Методология оценки эффективности инвестиционной деятельности</w:t>
            </w:r>
          </w:p>
          <w:p w:rsidR="00E10F43" w:rsidRPr="00E10F43" w:rsidRDefault="00E10F43" w:rsidP="00E10F43">
            <w:pPr>
              <w:numPr>
                <w:ilvl w:val="0"/>
                <w:numId w:val="38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Методология оценки эффективности инновационной деятельности </w:t>
            </w:r>
          </w:p>
        </w:tc>
      </w:tr>
      <w:tr w:rsidR="00E10F43" w:rsidRPr="00E10F43" w:rsidTr="00F10CEB">
        <w:trPr>
          <w:trHeight w:val="446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выделять стадии, фазы и этапы организации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анализировать эффективность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проектировать и анализировать результаты инвестиционной и инновационной деятельности по стадиям, фазам, этапам инвестиционных проектов;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приобретать знания в области моделирования инвестиционных и инновационных проектов;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корректно выражать и аргументированно обосновывать положения в области моделирования инвестиционных и инновационных проектов;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обсуждать способы эффективного решения задач, относящихся к инвестиционной и инновационной деятельности, с использованием методов математического моделирования;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использовать на междисциплинарном уровне знания по организации инвестиционной и инновационной деятельности;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задания: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Выполните расчет частных оценочных показателей, характеризующих уровень инновационной активности по нескольким видам деятельности, а также интегральных показателей, характеризующих состояние научно-исследовательских, опытно-конструкторских работ, уровень технологической или организационно-управленческой подготовки.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показателей для проведения оценки инновационной активности: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Style w:val="afd"/>
              <w:tblW w:w="7729" w:type="dxa"/>
              <w:jc w:val="center"/>
              <w:tblLook w:val="04A0" w:firstRow="1" w:lastRow="0" w:firstColumn="1" w:lastColumn="0" w:noHBand="0" w:noVBand="1"/>
            </w:tblPr>
            <w:tblGrid>
              <w:gridCol w:w="5246"/>
              <w:gridCol w:w="2483"/>
            </w:tblGrid>
            <w:tr w:rsidR="00E10F43" w:rsidRPr="00E10F43" w:rsidTr="00F10CEB">
              <w:trPr>
                <w:trHeight w:val="403"/>
                <w:jc w:val="center"/>
              </w:trPr>
              <w:tc>
                <w:tcPr>
                  <w:tcW w:w="524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Частные показатели</w:t>
                  </w:r>
                </w:p>
              </w:tc>
              <w:tc>
                <w:tcPr>
                  <w:tcW w:w="248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Интегральные показатели</w:t>
                  </w:r>
                </w:p>
              </w:tc>
            </w:tr>
            <w:tr w:rsidR="00E10F43" w:rsidRPr="00E10F43" w:rsidTr="00F10CEB">
              <w:trPr>
                <w:trHeight w:val="524"/>
                <w:jc w:val="center"/>
              </w:trPr>
              <w:tc>
                <w:tcPr>
                  <w:tcW w:w="5246" w:type="dxa"/>
                </w:tcPr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затрат на исследования и разработки в общем объеме затрат на инновационную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текущих затрат на исследования и разработки в общем объеме затрат на исследования и разработки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капитальных затрат на исследования и разработки в объеме затрат на исследования и разработки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Интенсивность проведения научно-исследовательской деятельности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затрат на технологическую деятельность в объеме затрат на производство инноваций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текущих затрат на технологическую деятельность в объеме затрат на технологическую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капитальных затрат на технологическую деятельность в объеме затрат на технологическую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Интенсивность проведения конструкторской деятельности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затрат на конструкторскую деятельность в объеме затрат на производство инноваций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текущих затрат на конструкторскую деятельность в объеме затрат на конструкторскую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капитальных затрат на конструкторскую деятельность в объеме затрат на конструкторскую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Интенсивность проведения конструкторской деятельности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затрат на организационно-управленческую деятельность в объеме затрат на инновационную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текущих затрат на организационно-управленческую деятельность в объеме затрат на организационно-управленческую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Удельный вес капитальных затрат на организационно-управленческую деятельность в объеме затрат на организационно-управленческую деятельность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Интенсивность проведения организационно-управленческой деятельности</w:t>
                  </w:r>
                </w:p>
              </w:tc>
              <w:tc>
                <w:tcPr>
                  <w:tcW w:w="2483" w:type="dxa"/>
                  <w:vAlign w:val="center"/>
                </w:tcPr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Уровень проведения научно-исследовательских работ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Уровень технологической подготовки производства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Уровень проектно-конструкторской подготовки производства</w:t>
                  </w:r>
                </w:p>
                <w:p w:rsidR="00E10F43" w:rsidRPr="00E10F43" w:rsidRDefault="00E10F43" w:rsidP="00E10F43">
                  <w:pPr>
                    <w:numPr>
                      <w:ilvl w:val="0"/>
                      <w:numId w:val="42"/>
                    </w:numPr>
                    <w:tabs>
                      <w:tab w:val="left" w:pos="277"/>
                    </w:tabs>
                    <w:ind w:left="0" w:firstLine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Уровень организационно-управленческой подготовки.</w:t>
                  </w:r>
                </w:p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результатам выполненных расчетов необходимо сделать вывод об инновационной активности исследуемого предприятия. 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 (в млн. руб.) для расчета представлены: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clear" w:pos="1440"/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Выручка от реализации инновационной продукции - 100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clear" w:pos="1440"/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исследования и разработки – 22,4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текущие – 20%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капитальные – 80%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технологическую подготовку производства - 39,2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текущие – 13,7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капитальные – 25,5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проектно-конструкторскую подготовку производства - 33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текущие - 13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капитальные - 20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Затраты на организационно-управленческую подготовку производства – 16,8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– текущие - ;</w:t>
            </w:r>
          </w:p>
          <w:p w:rsidR="00E10F43" w:rsidRPr="00E10F43" w:rsidRDefault="00E10F43" w:rsidP="00E10F43">
            <w:pPr>
              <w:tabs>
                <w:tab w:val="left" w:pos="277"/>
                <w:tab w:val="left" w:pos="743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– капитальные – 10,8.</w:t>
            </w:r>
          </w:p>
          <w:p w:rsidR="00E10F43" w:rsidRPr="00E10F43" w:rsidRDefault="00E10F43" w:rsidP="00E10F43">
            <w:pPr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Всего затрат на инновационную деятельность -112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Определите, какая команда вносит наибольший вклад в успех инновационного развития финансово-промышленной группы, рассчитав коэффициент корпоративной эффективности, если совокупные затраты ФПГ составляют 33 619 млн руб., чистая прибыль ФПГ – 15 724 млн руб., данные по результату команд представлены в табл.:</w:t>
            </w:r>
          </w:p>
          <w:tbl>
            <w:tblPr>
              <w:tblStyle w:val="afd"/>
              <w:tblW w:w="0" w:type="auto"/>
              <w:tblInd w:w="30" w:type="dxa"/>
              <w:tblLook w:val="04A0" w:firstRow="1" w:lastRow="0" w:firstColumn="1" w:lastColumn="0" w:noHBand="0" w:noVBand="1"/>
            </w:tblPr>
            <w:tblGrid>
              <w:gridCol w:w="1836"/>
              <w:gridCol w:w="1112"/>
              <w:gridCol w:w="1111"/>
              <w:gridCol w:w="1111"/>
              <w:gridCol w:w="1111"/>
              <w:gridCol w:w="1111"/>
              <w:gridCol w:w="1111"/>
            </w:tblGrid>
            <w:tr w:rsidR="00E10F43" w:rsidRPr="00E10F43" w:rsidTr="00F10CEB">
              <w:trPr>
                <w:trHeight w:val="472"/>
              </w:trPr>
              <w:tc>
                <w:tcPr>
                  <w:tcW w:w="183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Показатель</w:t>
                  </w:r>
                </w:p>
              </w:tc>
              <w:tc>
                <w:tcPr>
                  <w:tcW w:w="1112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6-я команда</w:t>
                  </w:r>
                </w:p>
              </w:tc>
            </w:tr>
            <w:tr w:rsidR="00E10F43" w:rsidRPr="00E10F43" w:rsidTr="00F10CEB">
              <w:trPr>
                <w:trHeight w:val="472"/>
              </w:trPr>
              <w:tc>
                <w:tcPr>
                  <w:tcW w:w="1836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команды, млн руб.</w:t>
                  </w:r>
                </w:p>
              </w:tc>
              <w:tc>
                <w:tcPr>
                  <w:tcW w:w="1112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3101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4751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5621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4560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7101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2330</w:t>
                  </w:r>
                </w:p>
              </w:tc>
            </w:tr>
            <w:tr w:rsidR="00E10F43" w:rsidRPr="00E10F43" w:rsidTr="00F10CEB">
              <w:trPr>
                <w:trHeight w:val="472"/>
              </w:trPr>
              <w:tc>
                <w:tcPr>
                  <w:tcW w:w="1836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команды, млн руб.</w:t>
                  </w:r>
                </w:p>
              </w:tc>
              <w:tc>
                <w:tcPr>
                  <w:tcW w:w="1112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1200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4210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2043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2065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3890</w:t>
                  </w:r>
                </w:p>
              </w:tc>
              <w:tc>
                <w:tcPr>
                  <w:tcW w:w="1111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1065</w:t>
                  </w:r>
                </w:p>
              </w:tc>
            </w:tr>
          </w:tbl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Оцените варианты финансовых вложений инвестора с целью минимизации риска, используя методику вероятного распределения доходности. Имеется два альтернативных варианта финансовых вложений в ценные бумаги двух новых инновационных предприятий с характеристиками, представленными в табл.</w:t>
            </w:r>
          </w:p>
          <w:tbl>
            <w:tblPr>
              <w:tblStyle w:val="afd"/>
              <w:tblW w:w="0" w:type="auto"/>
              <w:tblInd w:w="105" w:type="dxa"/>
              <w:tblLook w:val="04A0" w:firstRow="1" w:lastRow="0" w:firstColumn="1" w:lastColumn="0" w:noHBand="0" w:noVBand="1"/>
            </w:tblPr>
            <w:tblGrid>
              <w:gridCol w:w="4027"/>
              <w:gridCol w:w="1360"/>
              <w:gridCol w:w="1360"/>
              <w:gridCol w:w="1773"/>
            </w:tblGrid>
            <w:tr w:rsidR="00E10F43" w:rsidRPr="00E10F43" w:rsidTr="00F10CEB">
              <w:trPr>
                <w:trHeight w:val="472"/>
              </w:trPr>
              <w:tc>
                <w:tcPr>
                  <w:tcW w:w="4027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Показатели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Первый вариант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Второй вариант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Вероятность осуществления</w:t>
                  </w:r>
                </w:p>
              </w:tc>
            </w:tr>
            <w:tr w:rsidR="00E10F43" w:rsidRPr="00E10F43" w:rsidTr="00F10CEB">
              <w:trPr>
                <w:trHeight w:val="23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1. Рыночная цена ценной бумаги, тыс. руб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19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10F43" w:rsidRPr="00E10F43" w:rsidTr="00F10CEB">
              <w:trPr>
                <w:trHeight w:val="23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2. Экспертная оценка доходности: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10F43" w:rsidRPr="00E10F43" w:rsidTr="00F10CEB">
              <w:trPr>
                <w:trHeight w:val="25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2.1. Пессимистическая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25</w:t>
                  </w:r>
                </w:p>
              </w:tc>
            </w:tr>
            <w:tr w:rsidR="00E10F43" w:rsidRPr="00E10F43" w:rsidTr="00F10CEB">
              <w:trPr>
                <w:trHeight w:val="23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2.2. Наиболее вероятная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12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60</w:t>
                  </w:r>
                </w:p>
              </w:tc>
            </w:tr>
            <w:tr w:rsidR="00E10F43" w:rsidRPr="00E10F43" w:rsidTr="00F10CEB">
              <w:trPr>
                <w:trHeight w:val="255"/>
              </w:trPr>
              <w:tc>
                <w:tcPr>
                  <w:tcW w:w="4027" w:type="dxa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2.3. Оптимистическая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1360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1526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</w:t>
                  </w:r>
                </w:p>
              </w:tc>
            </w:tr>
          </w:tbl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Предприятие рассматривает инвестиционный проект – внедрение новой технологической линии. Стоимость линии – 30 000 долл. Срок службы 5 лет. Амортизация оборудования, исчисляемая по линейному методу, составляет 20% в год. Суммы, которые будут выручены от ликвидации линии по окончании срока службы технологической линии, будут равны расходам на еѐ демонтаж. По расчетам выручка от реализации продукции составит следующие величины: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год - 20 200 долл.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год - 24 300 долл.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год - 24 000 долл.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год - 18 000 долл.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Текущие расходы составят в первом году эксплуатации 10 200 долл. в последующие годы расходы будут возрастать ежегодно на 20%. Ставка налога на прибыль 20%. Цена авансированного капитала равна 14%. Первоначальные инвестиции проводились без привлечения внешних источников. Определите целесообразность принятия инвестиционного проекта.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Провести финансовое обоснование инвестиций, опираясь на следующие данные:</w:t>
            </w:r>
          </w:p>
          <w:tbl>
            <w:tblPr>
              <w:tblStyle w:val="af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123"/>
              <w:gridCol w:w="944"/>
            </w:tblGrid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Продолжительность проекта в годах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6 лет</w:t>
                  </w:r>
                </w:p>
              </w:tc>
            </w:tr>
            <w:tr w:rsidR="00E10F43" w:rsidRPr="00E10F43" w:rsidTr="00F10CEB">
              <w:trPr>
                <w:trHeight w:val="253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Общий объем инвестиций (млн. долл.)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45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Доля инвестиций в основные средства, в процентах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80 %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Остаточная стоимость основных средств, в процентах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12 %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Доля собственного капитала в структуре финансирования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45 %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Стоимость собственного капитала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30 %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Стоимость заемного капитала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20 %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Выручка (доход) предприятия в первый год (млн. долл.)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142,86</w:t>
                  </w:r>
                </w:p>
              </w:tc>
            </w:tr>
            <w:tr w:rsidR="00E10F43" w:rsidRPr="00E10F43" w:rsidTr="00F10CEB">
              <w:trPr>
                <w:trHeight w:val="274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Годовой темп роста дохода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4 %</w:t>
                  </w:r>
                </w:p>
              </w:tc>
            </w:tr>
            <w:tr w:rsidR="00E10F43" w:rsidRPr="00E10F43" w:rsidTr="00F10CEB">
              <w:trPr>
                <w:trHeight w:val="253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Прибыльность продаж в первый год проекта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6 %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Доля переменных издержек в цене продукции (доходе)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70 %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Оборачиваемость дебиторской задолженности</w:t>
                  </w:r>
                </w:p>
              </w:tc>
              <w:tc>
                <w:tcPr>
                  <w:tcW w:w="944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32 дней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Оборачиваемость кредиторской задолженности</w:t>
                  </w:r>
                </w:p>
              </w:tc>
              <w:tc>
                <w:tcPr>
                  <w:tcW w:w="944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46 дней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Оборачиваемость товарно-материальных запасов</w:t>
                  </w:r>
                </w:p>
              </w:tc>
              <w:tc>
                <w:tcPr>
                  <w:tcW w:w="944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50 дней</w:t>
                  </w:r>
                </w:p>
              </w:tc>
            </w:tr>
            <w:tr w:rsidR="00E10F43" w:rsidRPr="00E10F43" w:rsidTr="00F10CEB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Коэффициент выплаты дивидендов</w:t>
                  </w:r>
                </w:p>
              </w:tc>
              <w:tc>
                <w:tcPr>
                  <w:tcW w:w="944" w:type="dxa"/>
                  <w:vAlign w:val="center"/>
                </w:tcPr>
                <w:p w:rsidR="00E10F43" w:rsidRPr="00E10F43" w:rsidRDefault="00E10F43" w:rsidP="00E10F43">
                  <w:pPr>
                    <w:tabs>
                      <w:tab w:val="left" w:pos="277"/>
                    </w:tabs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30 %</w:t>
                  </w:r>
                </w:p>
              </w:tc>
            </w:tr>
          </w:tbl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vanish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Для проекта предусмотрен срок освоения капитальных вложений - один год.</w:t>
            </w: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Весь инвестиционный анализ следует разделить на три последовательных блока.</w:t>
            </w: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  Установление инвестиционных потребностей проекта.</w:t>
            </w: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  Выбор и поиск </w:t>
            </w: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источников финансирования</w:t>
            </w: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и определение стоимости привлеченного капитала.</w:t>
            </w:r>
          </w:p>
          <w:p w:rsidR="00E10F43" w:rsidRPr="00E10F43" w:rsidRDefault="00E10F43" w:rsidP="00E10F43">
            <w:pPr>
              <w:shd w:val="clear" w:color="auto" w:fill="FFFFFF"/>
              <w:tabs>
                <w:tab w:val="left" w:pos="277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  Прогноз финансовой отдачи от инвестиционного проекта в виде </w:t>
            </w: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денежных потоков</w:t>
            </w:r>
            <w:r w:rsidRPr="00E10F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и оценка эффективности инвестиционного проекта путем сопоставления спрогнозированных денежных потоков с исходным объемом инвестиций.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Компания «А» собирается производить продукцию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У. Величина средних переменных издержек (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AVC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)по продукции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составляет соответственно 30 д.е., 20 д.е., постоянных издержек (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FC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): 800 000 и 1000 000 д.е. Жизненный цикл проекта – 6 месяцев. Прогнозируемые рыночные цены реализации – 100 д.е. и 80 д.е. соответственно. Предполагается, что они  стабильны в течение жизненного цикла и соответствуют месячной величине спроса: товар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5000 шт; товар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–2700 шт.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Являются ли производства X и Y эффективными?</w:t>
            </w:r>
          </w:p>
        </w:tc>
      </w:tr>
      <w:tr w:rsidR="00E10F43" w:rsidRPr="00E10F43" w:rsidTr="00F10CEB">
        <w:trPr>
          <w:trHeight w:val="446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оценки эффективности инвестиций и принятия решений о практической целесообразности реализации инвестиционных и инновационных проектов;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и методиками обобщения результатов анализа эффективности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теоретических и эмпирических методов оценки эффективности инвестиционной и инновационной деятельности;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и методиками обобщения результатов анализа и экспериментальной деятельности;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Проведите оценку инновационной деятельности предприятия (хозяйствующих субъект – выбор аспиранта) с помощью системы статистических показателей, приведенных ниже. По результатам проведенного анализа сформулируйте выводы и предложения по оптимизации инновационной деятельности предприятия.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статистических показателей, характеризующих инновационную деятельность промышленных организаций: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Затратные показатели: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удельные затраты на НИОКР в объеме продаж, которые характеризуют показатель наукоемкости продукции фирмы;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удельные затраты на приобретение лицензий, патентов, ноу-хау;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затраты на приобретение инновационных фирм;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наличие фондов на развитие инициативных разработок.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Показатели, характеризующие динамику инновационного процесса;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показатель инновационности ТАТ (ТАТ - время с момента осознания потребности или спроса на новый продукт до момента его отправки на рынок или потребителю в больших количествах.);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длительность процесса разработки нового продукта (но­вой технологии);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длительность подготовки производства нового продукта;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длительность производственного цикла нового продукта.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Показатели обновляемости: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количество разработок или внедрений нововведений продуктов и нововведений-процессов;    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показатели динамики обновления портфеля продукции (удельный вес продукции, выпускаемой 2, 3, 5, и 10 лет);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количество приобретенных (переданных) новых технологий (технических достижений);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объем экспортируемой инновационной продукции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объем предоставляемых новых услуг.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Структурные показатели: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состав и количество исследовательских, разрабатывающих и других научно-технических структурных подразделений (включая экспериментальные и испытательские комплексы);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состав и количество совместных предприятий, занятых использованием новой технологии и создав новой продукции;</w:t>
            </w:r>
          </w:p>
          <w:p w:rsidR="00E10F43" w:rsidRPr="00E10F43" w:rsidRDefault="00E10F43" w:rsidP="00E10F43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численность и структура сотрудников, занятых НИОКР;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состав и число творческих инициативных времен бригад, групп.</w:t>
            </w:r>
          </w:p>
        </w:tc>
      </w:tr>
      <w:tr w:rsidR="00E10F43" w:rsidRPr="00E10F43" w:rsidTr="00F10C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E10F43" w:rsidRPr="00E10F43" w:rsidTr="00F10CEB">
        <w:trPr>
          <w:trHeight w:val="521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теоретические категории и прикладные методы инновационной и инвестиционной деятельности;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механизмы разработки и внедрения инновационных проектов;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источники и механизмы финансирования инновационных проектов;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методы анализа и разрешения проблем инновационного развития национальной экономики;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инструменты управления основными параметрами инновационных процессов;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tabs>
                <w:tab w:val="left" w:pos="190"/>
                <w:tab w:val="left" w:pos="30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Концепция инновационного менеджмента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государственного регулирования инновационной деятельности в Российской Федерации.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Организационные формы инновационной деятельности.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Проблемы повышения инновационной активности современных организаций.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стратегия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политика современной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инновационного климата и инновационный потенциал организации.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Конкурентные преимущества и формирование портфелей новшеств и инноваций.</w:t>
            </w:r>
          </w:p>
          <w:p w:rsidR="00E10F43" w:rsidRPr="00E10F43" w:rsidRDefault="00E10F43" w:rsidP="00E10F43">
            <w:pPr>
              <w:numPr>
                <w:ilvl w:val="0"/>
                <w:numId w:val="43"/>
              </w:numPr>
              <w:tabs>
                <w:tab w:val="left" w:pos="166"/>
                <w:tab w:val="left" w:pos="39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Особенности организации НИОКР и проектирования в системе инновационной деятельности.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E10F43" w:rsidRPr="00E10F43" w:rsidTr="00F10CEB">
        <w:trPr>
          <w:trHeight w:val="379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планировать, организовывать и осуществлять инновационную и инвестиционную деятельность; 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выявлять, анализировать и находить разрешение проблем инновационного развития национальной экономики;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управлять основными параметрами инновационных процессов;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E10F43" w:rsidRPr="00E10F43" w:rsidRDefault="00E10F43" w:rsidP="00E10F43">
            <w:pPr>
              <w:numPr>
                <w:ilvl w:val="0"/>
                <w:numId w:val="40"/>
              </w:numPr>
              <w:tabs>
                <w:tab w:val="left" w:pos="25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 предприятии разработана инновационная стратегия: направить активы на рост объемов производства. Для этого необходимо провести техническое перевооружение производственной системы, при этом возможны три альтернативы реализации данной программы: 1) комплексное обновление технической базы за счет покупки нового оборудования; 2) модернизация действующего оборудования; 3) реконструкция цехов с внедрением новой технологии. </w:t>
            </w: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Определите наиболее перспективный вариант из предложенных альтернатив (табл</w:t>
            </w: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E10F43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E10F43" w:rsidRPr="00E10F43" w:rsidRDefault="00E10F43" w:rsidP="00E10F4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Исходные данные для расчета</w:t>
            </w:r>
          </w:p>
          <w:tbl>
            <w:tblPr>
              <w:tblStyle w:val="afd"/>
              <w:tblW w:w="0" w:type="auto"/>
              <w:tblInd w:w="140" w:type="dxa"/>
              <w:tblLook w:val="04A0" w:firstRow="1" w:lastRow="0" w:firstColumn="1" w:lastColumn="0" w:noHBand="0" w:noVBand="1"/>
            </w:tblPr>
            <w:tblGrid>
              <w:gridCol w:w="1796"/>
              <w:gridCol w:w="1414"/>
              <w:gridCol w:w="1508"/>
              <w:gridCol w:w="923"/>
              <w:gridCol w:w="1508"/>
              <w:gridCol w:w="923"/>
              <w:gridCol w:w="1508"/>
              <w:gridCol w:w="923"/>
            </w:tblGrid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Merge w:val="restart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Цели,</w:t>
                  </w:r>
                </w:p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которые</w:t>
                  </w:r>
                </w:p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должны быть</w:t>
                  </w:r>
                </w:p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достигнуты</w:t>
                  </w:r>
                </w:p>
              </w:tc>
              <w:tc>
                <w:tcPr>
                  <w:tcW w:w="1115" w:type="dxa"/>
                  <w:vMerge w:val="restart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Значимость в баллах</w:t>
                  </w:r>
                </w:p>
              </w:tc>
              <w:tc>
                <w:tcPr>
                  <w:tcW w:w="1922" w:type="dxa"/>
                  <w:gridSpan w:val="2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Альтернатива 1</w:t>
                  </w:r>
                </w:p>
              </w:tc>
              <w:tc>
                <w:tcPr>
                  <w:tcW w:w="1921" w:type="dxa"/>
                  <w:gridSpan w:val="2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Альтернатива 2</w:t>
                  </w:r>
                </w:p>
              </w:tc>
              <w:tc>
                <w:tcPr>
                  <w:tcW w:w="1921" w:type="dxa"/>
                  <w:gridSpan w:val="2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Альтернатива 3</w:t>
                  </w:r>
                </w:p>
              </w:tc>
            </w:tr>
            <w:tr w:rsidR="00E10F43" w:rsidRPr="00E10F43" w:rsidTr="00F10CEB">
              <w:trPr>
                <w:trHeight w:val="919"/>
              </w:trPr>
              <w:tc>
                <w:tcPr>
                  <w:tcW w:w="1416" w:type="dxa"/>
                  <w:vMerge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15" w:type="dxa"/>
                  <w:vMerge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Вероятность достижения цели, %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оценка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Вероятность достижения цели, %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оценка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Вероятность достижения цели, %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оценка</w:t>
                  </w:r>
                </w:p>
              </w:tc>
            </w:tr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Надежность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800</w:t>
                  </w:r>
                </w:p>
              </w:tc>
            </w:tr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Комплексность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</w:tr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Эффектиность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60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900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600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300</w:t>
                  </w:r>
                </w:p>
              </w:tc>
            </w:tr>
            <w:tr w:rsidR="00E10F43" w:rsidRPr="00E10F43" w:rsidTr="00F10CEB">
              <w:trPr>
                <w:trHeight w:val="248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Завершенность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250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150</w:t>
                  </w:r>
                </w:p>
              </w:tc>
            </w:tr>
            <w:tr w:rsidR="00E10F43" w:rsidRPr="00E10F43" w:rsidTr="00F10CEB">
              <w:trPr>
                <w:trHeight w:val="68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Приемлимость для исполнения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500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1500</w:t>
                  </w:r>
                </w:p>
              </w:tc>
            </w:tr>
            <w:tr w:rsidR="00E10F43" w:rsidRPr="00E10F43" w:rsidTr="00F10CEB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Итого</w:t>
                  </w:r>
                </w:p>
              </w:tc>
              <w:tc>
                <w:tcPr>
                  <w:tcW w:w="1115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2200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2450</w:t>
                  </w:r>
                </w:p>
              </w:tc>
              <w:tc>
                <w:tcPr>
                  <w:tcW w:w="1189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E10F43" w:rsidRPr="00E10F43" w:rsidRDefault="00E10F43" w:rsidP="00E10F43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10F43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2850</w:t>
                  </w:r>
                </w:p>
              </w:tc>
            </w:tr>
          </w:tbl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2. Предприятия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разрабатывая инновационную стратегию развития, в качестве стратегических целей определило: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создать новую производственную систему для наращивания инновационного потенциала организации;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упрочить позиции предприятия на действующем рынке на основе конкурентных преимуществ, полученных при разработке новой технологии;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создать предпосылки для выхода на новые рынки сбыта.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 для реализации этих стратегических целей сформировать «дерево целей» по трем направлениям: изменить производственную систему, изменить систему маркетинга, реализовать конкурентные преимущества предприятия: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10BF8F" wp14:editId="1691ACE4">
                  <wp:extent cx="4043466" cy="172247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46321" cy="172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Перечень работ по реализации стратегии: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внедрить безотходные замкнутые технологические процессы;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выйти на один из экспортных рынков;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автоматизировать главные стадии производственной системы;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продаж;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контроля в производстве;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применить подробный анализ рыночной конъюнктуры;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прямую продажу на территории фирмы;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внедрить пробные продажи;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увеличить объем финансирования маркетинга на 12 %;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увеличить объем финансирования НИОКР на 10 %;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расширить сегмент на внутриотраслевом рынке;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оплаты труда на производстве;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позиционировать новую модификацию товара;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повысить уровень квалификации ответственных работников за реализацию проекта;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повысить уровень качества исходного сырья и материала;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позиционирование продукции на межотраслевом рынке;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измененить систему маркетинга;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оплаты труда работников отдела сбыта (привязать размер заработной платы к объему продаж);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позиционировать качественные отличия, дизайн товара, дополнительный сервис;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устранить выброс вредных веществ в атмосферу;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подробнее рассмотреть действующие тарифы;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замкнутый оборот воды в системе;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внедрить элементы «льготы и скидки» в систему продаж;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производственную систему;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модернизировать систему взаимоотношений с поставщиками;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исследовать сезонные колебания спроса;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продвинуть товар на рынок соседнего региона;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изучить влияние изменения цен на мировом рынке; 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развить рынки продаж на Дальневосточном сибирском округе;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попытаться позиционировать товар на рынках стран СНГ;</w:t>
            </w:r>
          </w:p>
          <w:p w:rsidR="00E10F43" w:rsidRPr="00E10F43" w:rsidRDefault="00E10F43" w:rsidP="00E10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пробные продажи товара в ближнем зарубежье (европейские страны).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3. Компания </w:t>
            </w:r>
            <w:r w:rsidRPr="00E10F4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ru-RU" w:eastAsia="ru-RU"/>
              </w:rPr>
              <w:t>X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 имеет результат интеллектуальной деятельности в форме изобретения и думает над вопросом его выгодной коммерциализации. Срок морального старения подобных разработок составляет три года. Стартовые инвестиции на организацию серийного производства - </w:t>
            </w:r>
            <w:r w:rsidRPr="00E10F4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RU" w:eastAsia="ru-RU"/>
              </w:rPr>
              <w:t>15 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млн руб. В таблице представлены некоторые финансовые показатели по проекту.</w:t>
            </w:r>
          </w:p>
          <w:p w:rsidR="00E10F43" w:rsidRPr="00E10F43" w:rsidRDefault="00E10F43" w:rsidP="00E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Финансовые показатели по проекту:</w:t>
            </w:r>
          </w:p>
          <w:tbl>
            <w:tblPr>
              <w:tblW w:w="842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79"/>
              <w:gridCol w:w="1150"/>
              <w:gridCol w:w="1105"/>
              <w:gridCol w:w="1088"/>
            </w:tblGrid>
            <w:tr w:rsidR="00E10F43" w:rsidRPr="00E10F43" w:rsidTr="00F10CEB">
              <w:trPr>
                <w:trHeight w:val="392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Показатель, млн руб.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Первый</w:t>
                  </w:r>
                </w:p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Второй</w:t>
                  </w:r>
                </w:p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Третий</w:t>
                  </w:r>
                </w:p>
                <w:p w:rsidR="00E10F43" w:rsidRPr="00E10F43" w:rsidRDefault="00E10F43" w:rsidP="00E10F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</w:tr>
            <w:tr w:rsidR="00E10F43" w:rsidRPr="00E10F43" w:rsidTr="00F10CEB">
              <w:trPr>
                <w:trHeight w:val="188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Выручка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</w:tr>
            <w:tr w:rsidR="00E10F43" w:rsidRPr="00E10F43" w:rsidTr="00F10CEB">
              <w:trPr>
                <w:trHeight w:val="203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Чистая прибыль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E10F43" w:rsidRPr="00E10F43" w:rsidTr="00F10CEB">
              <w:trPr>
                <w:trHeight w:val="392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Полный денежный поток при условии самостоятельного производства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E10F43" w:rsidRPr="00E10F43" w:rsidRDefault="00E10F43" w:rsidP="00E10F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E10F4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</w:tbl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Если компания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E10F4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будет организовывать собственный бизнес, ей будет необходимо взять кредит на сумму 5 млн руб. под 18 % годовых. Норма доходности на собственный капитал - 20 %. Ставка роялти равна 4 %. Ставка налога на прибыль - 20 %.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Рассчитав возможные статические и динамические показатели эффективности, обоснуйте выбор стратегии коммерциализации интеллектуальной собственности: самостоятельный бизнес или продажа лицензии.</w:t>
            </w:r>
          </w:p>
        </w:tc>
      </w:tr>
      <w:tr w:rsidR="00E10F43" w:rsidRPr="00E10F43" w:rsidTr="00F10CEB">
        <w:trPr>
          <w:trHeight w:val="2517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F43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навыками разработки инновационных инвестиционных проектов, их внедрения и оценки их результатов; 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апробации инновационных разработок, выявления и устранения отрицательных проявлений и негативных последствий;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10F43">
              <w:rPr>
                <w:rFonts w:ascii="Times New Roman" w:hAnsi="Times New Roman" w:cs="Times New Roman"/>
                <w:sz w:val="24"/>
                <w:szCs w:val="24"/>
              </w:rPr>
              <w:t>навыками масштабирования инновационных разработок</w:t>
            </w: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43" w:rsidRPr="00E10F43" w:rsidRDefault="00E10F43" w:rsidP="00E10F43">
            <w:pPr>
              <w:tabs>
                <w:tab w:val="left" w:pos="228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E10F43" w:rsidRPr="00E10F43" w:rsidRDefault="00E10F43" w:rsidP="00E10F43">
            <w:pPr>
              <w:tabs>
                <w:tab w:val="left" w:pos="39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 основе аналитического обзора и анализа статей в научно-публицистических изданиях, данных органов статистики, а также ресурсов Интернет необходимо подготовить проект по теме, выбранной самостоятельно из списка ниже.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 – концептуальное, хорошо проиллюстрированное статистическими цифрами и данными, графиками и рисунками представление информации по выбранной теме. Проект по своей структуре должен включать такие разделы, как: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1. Проблема (актуальность проекта): в рамках данного раздела осуществляется изложение проблемы исследуемого вопроса, доказывается актуальность проекта. Описание проблемы должно быть объективным, основываться на фактах и иметь ссылки на проверенные источники, а также должен быть показан прогноз последствий развития сложившейся ситуации.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Цель и задачи проекта это конкретные целевые задачи, которые необходимо решить для преодоления негативной ситуации, или количественные и качественные установки, которые направлены на модернизацию исследуемой системы.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Методы проекта – это графическое, табличное, а также в виде рисунков, схем, фотографий представление анализируемой информации, позволяющей оценить ситуацию и выработать управленческие решения, способствующие реализации поставленных задач и достижению цели.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Выводы и рекомендации – это результат изучения, анализа и оценки информации по исследуемой теме.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Предлагаемые темы проектов: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Перспективные направления развития инновационного бизнеса в Челябинской области.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Инновационная инфраструктура Челябинской области. </w:t>
            </w:r>
          </w:p>
          <w:p w:rsidR="00E10F43" w:rsidRPr="00E10F43" w:rsidRDefault="00E10F43" w:rsidP="00E10F43">
            <w:pPr>
              <w:tabs>
                <w:tab w:val="left" w:pos="228"/>
                <w:tab w:val="left" w:pos="108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10F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Виды инновационных продуктов (товаров, услуг, технологий) Челябинской области. </w:t>
            </w:r>
          </w:p>
          <w:p w:rsidR="00E10F43" w:rsidRPr="00E10F43" w:rsidRDefault="00E10F43" w:rsidP="00E10F4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E10F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Модель развития предприятия в сфере инноваций (на примере предприятия Челябинской области).</w:t>
            </w:r>
          </w:p>
        </w:tc>
      </w:tr>
    </w:tbl>
    <w:p w:rsidR="00E10F43" w:rsidRPr="00E10F43" w:rsidRDefault="00E10F43" w:rsidP="00E10F4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  <w:sectPr w:rsidR="00E10F43" w:rsidRPr="00E10F43" w:rsidSect="0081007E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E10F43" w:rsidRPr="00E10F43" w:rsidRDefault="00E10F43" w:rsidP="00E10F43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10F43" w:rsidRPr="00E10F43" w:rsidRDefault="00E10F43" w:rsidP="00E10F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«Основы инвестиционной и инновационной деятельности в промышленности» включает теоретические вопросы, позволяющие оценить уровень усвоения обучающимися знаний, практические и творческие задания, выявляющие степень сформированности умений и владений, проводится в форме зачета с оценкой.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 по билетам, каждый из которых включает 1 теоретический вопрос и 1 практическое задание. 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>Для проведения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зачета с оценкой 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>предусмотрен следующий примерный перечень вопросов: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Научно-технический прогресс и роль инноваций в развитии экономики.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Инновации, инновационная деятельность и инновационный процесс. Типовые графики инновационного процесса.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Управление инновационной деятельностью предприятий и организаций.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Эволюция технологических укладов (волн) и роль научных исследований и разработок.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Структура и содержание инновационного менеджмента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CALS-технологии как инструмент сопровождения инновационных процессов.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Концепция инновационного менеджмента современной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Особенности государственного регулирования инновационной деятельности в Российской Федерации.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Организационные формы инновационной деятельности.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Проблемы повышения инновационной активности современных организаций.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Инновационная стратегия современной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Инновационная политика современной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Особенности инновационного климата и инновационный потенциал организации.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Конкурентные преимущества и формирование портфелей новшеств и инноваций.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Особенности организации НИОКР и проектирования в системе инновационной деятельности.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Экономика инновационной деятельности.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Сущность и состав инновационного проекта как форма инновационной деятельности.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Бизнес-план инновационного проекта, его структура и содержание основных разделов.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Инвестиции как форма финансирования инновационной деятельности. Смета капитальных затрат инновационного проекта.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Инновационный риск: сущность, идентификация, анализ и оценка. Методы идентификации и оценки инновационного риска. Управление инновационным риском.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Особенности формирования финансовых потоков CF инновационного проекта: притоки и оттоки денежных средств, экономико-математическое моделирование.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Применение метода аналогий в прогнозировании исходных параметров для оценки доходности инновационного проекта.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Особенности расчета показателей доходности инновационного проекта в постоянных и текущих ценах.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Возможности оценки инновационного риска на основе варьирования ставки сравнения (коэффициента дисконтирования) проекта.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Выбор критериев оценки доходности инновационных проектов в условиях долгосрочных инвестиционных программ.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Выбор критериев оценки доходности инновационных проектов в условиях среднесрочных инвестиционных программ.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Выбор критериев оценки доходности инновационных проектов в условиях краткосрочных инвестиционных программ.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выбора ставки сравнения (коэффициента дисконтирования) инновационного проекта на основе среднеотраслевой стоимости капитала.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выбора ставки сравнения (коэффициента дисконтирования) инновационного проекта на основе средневзвешенной стоимости капитала.</w:t>
      </w:r>
    </w:p>
    <w:p w:rsidR="00E10F43" w:rsidRPr="00E10F43" w:rsidRDefault="00E10F43" w:rsidP="00E10F43">
      <w:pPr>
        <w:keepNext/>
        <w:widowControl w:val="0"/>
        <w:numPr>
          <w:ilvl w:val="3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E10F4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Методы выбора ставки сравнения (коэффициента дисконтирования) инновационного</w:t>
      </w:r>
      <w:r w:rsidRPr="00E10F4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проекта на основе ставки LIBOR и уровня инновационного риска.</w:t>
      </w:r>
    </w:p>
    <w:p w:rsidR="00E10F43" w:rsidRPr="00E10F43" w:rsidRDefault="00E10F43" w:rsidP="00E10F4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/>
        </w:rPr>
      </w:pP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10F43" w:rsidRPr="00E10F43" w:rsidRDefault="00E10F43" w:rsidP="00E10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0F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0F4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71590" w:rsidRPr="00171590" w:rsidRDefault="00171590" w:rsidP="00171590">
      <w:pPr>
        <w:pStyle w:val="1"/>
        <w:spacing w:before="0" w:after="0"/>
        <w:jc w:val="right"/>
        <w:rPr>
          <w:szCs w:val="24"/>
        </w:rPr>
      </w:pPr>
    </w:p>
    <w:p w:rsidR="00F54442" w:rsidRPr="00171590" w:rsidRDefault="00F54442" w:rsidP="00171590">
      <w:pPr>
        <w:pStyle w:val="1"/>
        <w:spacing w:before="0" w:after="0"/>
        <w:jc w:val="right"/>
        <w:rPr>
          <w:szCs w:val="24"/>
        </w:rPr>
      </w:pPr>
    </w:p>
    <w:sectPr w:rsidR="00F54442" w:rsidRPr="00171590" w:rsidSect="00171590">
      <w:footerReference w:type="even" r:id="rId65"/>
      <w:footerReference w:type="default" r:id="rId66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8CB" w:rsidRDefault="002448CB">
      <w:pPr>
        <w:spacing w:after="0" w:line="240" w:lineRule="auto"/>
      </w:pPr>
      <w:r>
        <w:separator/>
      </w:r>
    </w:p>
  </w:endnote>
  <w:endnote w:type="continuationSeparator" w:id="0">
    <w:p w:rsidR="002448CB" w:rsidRDefault="00244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B6D" w:rsidRDefault="00400B6D" w:rsidP="00400B6D">
    <w:pPr>
      <w:pStyle w:val="ae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400B6D" w:rsidRDefault="00400B6D" w:rsidP="00400B6D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B6D" w:rsidRDefault="00400B6D" w:rsidP="00400B6D">
    <w:pPr>
      <w:pStyle w:val="ae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171590">
      <w:rPr>
        <w:rStyle w:val="afc"/>
        <w:noProof/>
      </w:rPr>
      <w:t>44</w:t>
    </w:r>
    <w:r>
      <w:rPr>
        <w:rStyle w:val="afc"/>
      </w:rPr>
      <w:fldChar w:fldCharType="end"/>
    </w:r>
  </w:p>
  <w:p w:rsidR="00400B6D" w:rsidRDefault="00400B6D" w:rsidP="00400B6D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8CB" w:rsidRDefault="002448CB">
      <w:pPr>
        <w:spacing w:after="0" w:line="240" w:lineRule="auto"/>
      </w:pPr>
      <w:r>
        <w:separator/>
      </w:r>
    </w:p>
  </w:footnote>
  <w:footnote w:type="continuationSeparator" w:id="0">
    <w:p w:rsidR="002448CB" w:rsidRDefault="00244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80B9E"/>
    <w:multiLevelType w:val="hybridMultilevel"/>
    <w:tmpl w:val="BDA01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B01EA"/>
    <w:multiLevelType w:val="hybridMultilevel"/>
    <w:tmpl w:val="BE901B6A"/>
    <w:lvl w:ilvl="0" w:tplc="384661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3F5D6B"/>
    <w:multiLevelType w:val="hybridMultilevel"/>
    <w:tmpl w:val="1F1CD1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543406"/>
    <w:multiLevelType w:val="hybridMultilevel"/>
    <w:tmpl w:val="BDA01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380359"/>
    <w:multiLevelType w:val="hybridMultilevel"/>
    <w:tmpl w:val="1724020C"/>
    <w:lvl w:ilvl="0" w:tplc="3FF2B8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47A0936"/>
    <w:multiLevelType w:val="hybridMultilevel"/>
    <w:tmpl w:val="1D12B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66775FC"/>
    <w:multiLevelType w:val="hybridMultilevel"/>
    <w:tmpl w:val="09380B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AC4EFD"/>
    <w:multiLevelType w:val="hybridMultilevel"/>
    <w:tmpl w:val="F27891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3960E5"/>
    <w:multiLevelType w:val="hybridMultilevel"/>
    <w:tmpl w:val="1CECF36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A3060"/>
    <w:multiLevelType w:val="hybridMultilevel"/>
    <w:tmpl w:val="2B66607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32ED6"/>
    <w:multiLevelType w:val="hybridMultilevel"/>
    <w:tmpl w:val="0F3E0E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B440AE"/>
    <w:multiLevelType w:val="hybridMultilevel"/>
    <w:tmpl w:val="1D12B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50A60DE"/>
    <w:multiLevelType w:val="hybridMultilevel"/>
    <w:tmpl w:val="1D12B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9E529F5"/>
    <w:multiLevelType w:val="singleLevel"/>
    <w:tmpl w:val="D38A0FF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2525506"/>
    <w:multiLevelType w:val="hybridMultilevel"/>
    <w:tmpl w:val="A5AAF1E8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54E77625"/>
    <w:multiLevelType w:val="hybridMultilevel"/>
    <w:tmpl w:val="0024DE90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F76382"/>
    <w:multiLevelType w:val="hybridMultilevel"/>
    <w:tmpl w:val="CDE0BDBA"/>
    <w:lvl w:ilvl="0" w:tplc="73EEDFA8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0A77401"/>
    <w:multiLevelType w:val="hybridMultilevel"/>
    <w:tmpl w:val="4CF83F4A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>
      <w:start w:val="1"/>
      <w:numFmt w:val="decimal"/>
      <w:lvlText w:val="%4."/>
      <w:lvlJc w:val="left"/>
      <w:pPr>
        <w:ind w:left="4680" w:hanging="360"/>
      </w:pPr>
    </w:lvl>
    <w:lvl w:ilvl="4" w:tplc="04190019">
      <w:start w:val="1"/>
      <w:numFmt w:val="lowerLetter"/>
      <w:lvlText w:val="%5."/>
      <w:lvlJc w:val="left"/>
      <w:pPr>
        <w:ind w:left="5400" w:hanging="360"/>
      </w:pPr>
    </w:lvl>
    <w:lvl w:ilvl="5" w:tplc="0419001B">
      <w:start w:val="1"/>
      <w:numFmt w:val="lowerRoman"/>
      <w:lvlText w:val="%6."/>
      <w:lvlJc w:val="right"/>
      <w:pPr>
        <w:ind w:left="6120" w:hanging="180"/>
      </w:pPr>
    </w:lvl>
    <w:lvl w:ilvl="6" w:tplc="0419000F">
      <w:start w:val="1"/>
      <w:numFmt w:val="decimal"/>
      <w:lvlText w:val="%7."/>
      <w:lvlJc w:val="left"/>
      <w:pPr>
        <w:ind w:left="6840" w:hanging="360"/>
      </w:pPr>
    </w:lvl>
    <w:lvl w:ilvl="7" w:tplc="04190019">
      <w:start w:val="1"/>
      <w:numFmt w:val="lowerLetter"/>
      <w:lvlText w:val="%8."/>
      <w:lvlJc w:val="left"/>
      <w:pPr>
        <w:ind w:left="7560" w:hanging="360"/>
      </w:pPr>
    </w:lvl>
    <w:lvl w:ilvl="8" w:tplc="0419001B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761836DB"/>
    <w:multiLevelType w:val="hybridMultilevel"/>
    <w:tmpl w:val="371A3D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CF25BE"/>
    <w:multiLevelType w:val="hybridMultilevel"/>
    <w:tmpl w:val="2EBAD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494E8B"/>
    <w:multiLevelType w:val="hybridMultilevel"/>
    <w:tmpl w:val="7A88339C"/>
    <w:lvl w:ilvl="0" w:tplc="7532A4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D9E5894"/>
    <w:multiLevelType w:val="hybridMultilevel"/>
    <w:tmpl w:val="08D89CFA"/>
    <w:lvl w:ilvl="0" w:tplc="640CAF84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</w:num>
  <w:num w:numId="13">
    <w:abstractNumId w:val="9"/>
  </w:num>
  <w:num w:numId="14">
    <w:abstractNumId w:val="9"/>
  </w:num>
  <w:num w:numId="15">
    <w:abstractNumId w:val="15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</w:num>
  <w:num w:numId="19">
    <w:abstractNumId w:val="12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9"/>
  </w:num>
  <w:num w:numId="29">
    <w:abstractNumId w:val="11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22"/>
  </w:num>
  <w:num w:numId="40">
    <w:abstractNumId w:val="18"/>
  </w:num>
  <w:num w:numId="41">
    <w:abstractNumId w:val="3"/>
  </w:num>
  <w:num w:numId="42">
    <w:abstractNumId w:val="14"/>
  </w:num>
  <w:num w:numId="43">
    <w:abstractNumId w:val="4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44C"/>
    <w:rsid w:val="00171590"/>
    <w:rsid w:val="00175473"/>
    <w:rsid w:val="002448CB"/>
    <w:rsid w:val="00307C33"/>
    <w:rsid w:val="00327C33"/>
    <w:rsid w:val="00400B6D"/>
    <w:rsid w:val="00444969"/>
    <w:rsid w:val="004803D0"/>
    <w:rsid w:val="0049244C"/>
    <w:rsid w:val="00652952"/>
    <w:rsid w:val="006E472E"/>
    <w:rsid w:val="008E6032"/>
    <w:rsid w:val="009A62F4"/>
    <w:rsid w:val="00A058FE"/>
    <w:rsid w:val="00A97927"/>
    <w:rsid w:val="00AF4CA5"/>
    <w:rsid w:val="00BB337F"/>
    <w:rsid w:val="00C10ECF"/>
    <w:rsid w:val="00E10F43"/>
    <w:rsid w:val="00F5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B34"/>
  <w15:docId w15:val="{702E39A3-1BFC-4DC9-AC4F-8E282641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2952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44496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44496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952"/>
    <w:rPr>
      <w:rFonts w:ascii="Tahoma" w:eastAsiaTheme="minorEastAsi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65295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44496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44496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styleId="a6">
    <w:name w:val="FollowedHyperlink"/>
    <w:basedOn w:val="a0"/>
    <w:uiPriority w:val="99"/>
    <w:semiHidden/>
    <w:unhideWhenUsed/>
    <w:rsid w:val="00444969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44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note text"/>
    <w:basedOn w:val="a"/>
    <w:link w:val="a9"/>
    <w:unhideWhenUsed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4449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text"/>
    <w:basedOn w:val="a"/>
    <w:link w:val="ab"/>
    <w:uiPriority w:val="99"/>
    <w:semiHidden/>
    <w:unhideWhenUsed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449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aliases w:val="Знак Знак"/>
    <w:basedOn w:val="a0"/>
    <w:link w:val="ad"/>
    <w:uiPriority w:val="99"/>
    <w:semiHidden/>
    <w:locked/>
    <w:rsid w:val="00444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aliases w:val="Знак"/>
    <w:basedOn w:val="a"/>
    <w:link w:val="ac"/>
    <w:uiPriority w:val="99"/>
    <w:semiHidden/>
    <w:unhideWhenUsed/>
    <w:rsid w:val="004449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444969"/>
    <w:rPr>
      <w:rFonts w:eastAsiaTheme="minorEastAsia"/>
      <w:lang w:val="en-US"/>
    </w:rPr>
  </w:style>
  <w:style w:type="paragraph" w:styleId="ae">
    <w:name w:val="footer"/>
    <w:basedOn w:val="a"/>
    <w:link w:val="af"/>
    <w:uiPriority w:val="99"/>
    <w:unhideWhenUsed/>
    <w:rsid w:val="004449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444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unhideWhenUsed/>
    <w:rsid w:val="00444969"/>
    <w:pPr>
      <w:spacing w:after="0" w:line="240" w:lineRule="auto"/>
    </w:pPr>
    <w:rPr>
      <w:rFonts w:ascii="Calibri" w:eastAsia="Calibri" w:hAnsi="Calibri" w:cs="Times New Roman"/>
      <w:sz w:val="28"/>
      <w:szCs w:val="20"/>
      <w:lang w:val="ru-RU" w:eastAsia="ru-RU"/>
    </w:rPr>
  </w:style>
  <w:style w:type="character" w:customStyle="1" w:styleId="af1">
    <w:name w:val="Основной текст Знак"/>
    <w:basedOn w:val="a0"/>
    <w:link w:val="af0"/>
    <w:uiPriority w:val="99"/>
    <w:rsid w:val="00444969"/>
    <w:rPr>
      <w:rFonts w:ascii="Calibri" w:eastAsia="Calibri" w:hAnsi="Calibri" w:cs="Times New Roman"/>
      <w:sz w:val="28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44496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449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44496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5">
    <w:name w:val="Подзаголовок Знак"/>
    <w:basedOn w:val="a0"/>
    <w:link w:val="af4"/>
    <w:uiPriority w:val="99"/>
    <w:rsid w:val="0044496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449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rsid w:val="00444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44496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44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uiPriority w:val="99"/>
    <w:semiHidden/>
    <w:unhideWhenUsed/>
    <w:rsid w:val="00444969"/>
    <w:pPr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af7">
    <w:name w:val="Текст Знак"/>
    <w:basedOn w:val="a0"/>
    <w:link w:val="af6"/>
    <w:uiPriority w:val="99"/>
    <w:semiHidden/>
    <w:rsid w:val="00444969"/>
    <w:rPr>
      <w:rFonts w:ascii="Courier New" w:eastAsia="Calibri" w:hAnsi="Courier New" w:cs="Courier New"/>
      <w:sz w:val="20"/>
      <w:szCs w:val="20"/>
      <w:lang w:eastAsia="ru-RU"/>
    </w:rPr>
  </w:style>
  <w:style w:type="paragraph" w:styleId="af8">
    <w:name w:val="annotation subject"/>
    <w:basedOn w:val="aa"/>
    <w:next w:val="aa"/>
    <w:link w:val="af9"/>
    <w:uiPriority w:val="99"/>
    <w:semiHidden/>
    <w:unhideWhenUsed/>
    <w:rsid w:val="00444969"/>
    <w:rPr>
      <w:b/>
      <w:bCs/>
    </w:rPr>
  </w:style>
  <w:style w:type="character" w:customStyle="1" w:styleId="af9">
    <w:name w:val="Тема примечания Знак"/>
    <w:basedOn w:val="ab"/>
    <w:link w:val="af8"/>
    <w:uiPriority w:val="99"/>
    <w:semiHidden/>
    <w:rsid w:val="0044496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a">
    <w:name w:val="List Paragraph"/>
    <w:basedOn w:val="a"/>
    <w:uiPriority w:val="34"/>
    <w:qFormat/>
    <w:rsid w:val="0044496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4">
    <w:name w:val="Style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rsid w:val="0044496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4449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444969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spacing">
    <w:name w:val="nospacing"/>
    <w:basedOn w:val="a"/>
    <w:uiPriority w:val="99"/>
    <w:rsid w:val="0044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3">
    <w:name w:val="Текст примечания Знак1"/>
    <w:basedOn w:val="a0"/>
    <w:uiPriority w:val="99"/>
    <w:semiHidden/>
    <w:rsid w:val="00444969"/>
    <w:rPr>
      <w:sz w:val="20"/>
      <w:szCs w:val="20"/>
    </w:rPr>
  </w:style>
  <w:style w:type="character" w:customStyle="1" w:styleId="14">
    <w:name w:val="Нижний колонтитул Знак1"/>
    <w:basedOn w:val="a0"/>
    <w:uiPriority w:val="99"/>
    <w:semiHidden/>
    <w:rsid w:val="00444969"/>
  </w:style>
  <w:style w:type="character" w:customStyle="1" w:styleId="15">
    <w:name w:val="Основной текст Знак1"/>
    <w:basedOn w:val="a0"/>
    <w:uiPriority w:val="99"/>
    <w:semiHidden/>
    <w:rsid w:val="00444969"/>
  </w:style>
  <w:style w:type="character" w:customStyle="1" w:styleId="16">
    <w:name w:val="Основной текст с отступом Знак1"/>
    <w:basedOn w:val="a0"/>
    <w:uiPriority w:val="99"/>
    <w:semiHidden/>
    <w:rsid w:val="00444969"/>
  </w:style>
  <w:style w:type="character" w:customStyle="1" w:styleId="210">
    <w:name w:val="Основной текст 2 Знак1"/>
    <w:basedOn w:val="a0"/>
    <w:uiPriority w:val="99"/>
    <w:semiHidden/>
    <w:rsid w:val="00444969"/>
  </w:style>
  <w:style w:type="character" w:customStyle="1" w:styleId="211">
    <w:name w:val="Основной текст с отступом 2 Знак1"/>
    <w:basedOn w:val="a0"/>
    <w:uiPriority w:val="99"/>
    <w:semiHidden/>
    <w:rsid w:val="00444969"/>
  </w:style>
  <w:style w:type="character" w:customStyle="1" w:styleId="17">
    <w:name w:val="Тема примечания Знак1"/>
    <w:basedOn w:val="13"/>
    <w:uiPriority w:val="99"/>
    <w:semiHidden/>
    <w:rsid w:val="00444969"/>
    <w:rPr>
      <w:b/>
      <w:bCs/>
      <w:sz w:val="20"/>
      <w:szCs w:val="20"/>
    </w:rPr>
  </w:style>
  <w:style w:type="character" w:customStyle="1" w:styleId="FontStyle15">
    <w:name w:val="Font Style15"/>
    <w:rsid w:val="0044496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44496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1">
    <w:name w:val="Font Style11"/>
    <w:rsid w:val="00444969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444969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444969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7">
    <w:name w:val="Font Style17"/>
    <w:rsid w:val="0044496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4449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444969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444969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444969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4449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444969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444969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4449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444969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444969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444969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444969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444969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444969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444969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444969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444969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444969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444969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444969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44496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444969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444969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444969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444969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444969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444969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444969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444969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444969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444969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444969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444969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444969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444969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444969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44496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444969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444969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444969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444969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444969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444969"/>
  </w:style>
  <w:style w:type="character" w:customStyle="1" w:styleId="butback">
    <w:name w:val="butback"/>
    <w:basedOn w:val="a0"/>
    <w:rsid w:val="00444969"/>
  </w:style>
  <w:style w:type="character" w:customStyle="1" w:styleId="submenu-table">
    <w:name w:val="submenu-table"/>
    <w:basedOn w:val="a0"/>
    <w:rsid w:val="00444969"/>
  </w:style>
  <w:style w:type="character" w:customStyle="1" w:styleId="answernumber">
    <w:name w:val="answernumber"/>
    <w:basedOn w:val="a0"/>
    <w:rsid w:val="00444969"/>
  </w:style>
  <w:style w:type="character" w:styleId="afb">
    <w:name w:val="Strong"/>
    <w:basedOn w:val="a0"/>
    <w:uiPriority w:val="22"/>
    <w:qFormat/>
    <w:rsid w:val="00444969"/>
    <w:rPr>
      <w:b/>
      <w:bCs/>
    </w:rPr>
  </w:style>
  <w:style w:type="character" w:styleId="afc">
    <w:name w:val="page number"/>
    <w:basedOn w:val="a0"/>
    <w:rsid w:val="00175473"/>
  </w:style>
  <w:style w:type="table" w:styleId="afd">
    <w:name w:val="Table Grid"/>
    <w:basedOn w:val="a1"/>
    <w:uiPriority w:val="59"/>
    <w:rsid w:val="0017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image" Target="media/image5.wmf"/><Relationship Id="rId34" Type="http://schemas.openxmlformats.org/officeDocument/2006/relationships/image" Target="media/image13.wmf"/><Relationship Id="rId42" Type="http://schemas.openxmlformats.org/officeDocument/2006/relationships/image" Target="media/image20.wmf"/><Relationship Id="rId47" Type="http://schemas.openxmlformats.org/officeDocument/2006/relationships/image" Target="media/image23.wmf"/><Relationship Id="rId50" Type="http://schemas.openxmlformats.org/officeDocument/2006/relationships/oleObject" Target="embeddings/oleObject16.bin"/><Relationship Id="rId55" Type="http://schemas.openxmlformats.org/officeDocument/2006/relationships/image" Target="media/image27.wmf"/><Relationship Id="rId63" Type="http://schemas.openxmlformats.org/officeDocument/2006/relationships/oleObject" Target="embeddings/oleObject22.bin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10.bin"/><Relationship Id="rId11" Type="http://schemas.openxmlformats.org/officeDocument/2006/relationships/image" Target="media/image3.jpeg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image" Target="media/image16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0.bin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19" Type="http://schemas.openxmlformats.org/officeDocument/2006/relationships/oleObject" Target="embeddings/oleObject5.bin"/><Relationship Id="rId14" Type="http://schemas.openxmlformats.org/officeDocument/2006/relationships/hyperlink" Target="https://urait.ru/bcode/456226" TargetMode="External"/><Relationship Id="rId22" Type="http://schemas.openxmlformats.org/officeDocument/2006/relationships/image" Target="media/image6.wmf"/><Relationship Id="rId27" Type="http://schemas.openxmlformats.org/officeDocument/2006/relationships/oleObject" Target="embeddings/oleObject9.bin"/><Relationship Id="rId30" Type="http://schemas.openxmlformats.org/officeDocument/2006/relationships/image" Target="media/image10.wmf"/><Relationship Id="rId35" Type="http://schemas.openxmlformats.org/officeDocument/2006/relationships/image" Target="media/image14.wmf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3" Type="http://schemas.openxmlformats.org/officeDocument/2006/relationships/styles" Target="styles.xml"/><Relationship Id="rId12" Type="http://schemas.openxmlformats.org/officeDocument/2006/relationships/hyperlink" Target="https://urait.ru/viewer/investicionnyy-analiz-450162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8.bin"/><Relationship Id="rId33" Type="http://schemas.openxmlformats.org/officeDocument/2006/relationships/image" Target="media/image12.wmf"/><Relationship Id="rId38" Type="http://schemas.openxmlformats.org/officeDocument/2006/relationships/image" Target="media/image17.wmf"/><Relationship Id="rId46" Type="http://schemas.openxmlformats.org/officeDocument/2006/relationships/oleObject" Target="embeddings/oleObject14.bin"/><Relationship Id="rId59" Type="http://schemas.openxmlformats.org/officeDocument/2006/relationships/image" Target="media/image29.wmf"/><Relationship Id="rId67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oleObject" Target="embeddings/oleObject18.bin"/><Relationship Id="rId62" Type="http://schemas.openxmlformats.org/officeDocument/2006/relationships/image" Target="media/image3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oleObject" Target="embeddings/oleObject7.bin"/><Relationship Id="rId28" Type="http://schemas.openxmlformats.org/officeDocument/2006/relationships/image" Target="media/image9.wmf"/><Relationship Id="rId36" Type="http://schemas.openxmlformats.org/officeDocument/2006/relationships/image" Target="media/image15.wmf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" Type="http://schemas.openxmlformats.org/officeDocument/2006/relationships/image" Target="media/image2.jpeg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s://urait.ru/bcode/445196" TargetMode="External"/><Relationship Id="rId18" Type="http://schemas.openxmlformats.org/officeDocument/2006/relationships/oleObject" Target="embeddings/oleObject4.bin"/><Relationship Id="rId39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B1EEC-0B99-4FEB-9F15-635ED4B6D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12610</Words>
  <Characters>71878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User1</cp:lastModifiedBy>
  <cp:revision>15</cp:revision>
  <dcterms:created xsi:type="dcterms:W3CDTF">2020-11-14T15:29:00Z</dcterms:created>
  <dcterms:modified xsi:type="dcterms:W3CDTF">2021-02-01T20:18:00Z</dcterms:modified>
</cp:coreProperties>
</file>