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FF" w:rsidRDefault="002F35FF" w:rsidP="009C6C20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r>
        <w:rPr>
          <w:rStyle w:val="FontStyle16"/>
          <w:noProof/>
          <w:sz w:val="24"/>
          <w:szCs w:val="24"/>
        </w:rPr>
        <w:drawing>
          <wp:inline distT="0" distB="0" distL="0" distR="0" wp14:anchorId="07410F8A" wp14:editId="65FDD01C">
            <wp:extent cx="6120765" cy="8649404"/>
            <wp:effectExtent l="0" t="0" r="0" b="0"/>
            <wp:docPr id="3" name="Рисунок 3" descr="C:\Users\Big7\Desktop\тест 3\22.03.02_зБММб-18_Планирование эксперимент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22.03.02_зБММб-18_Планирование эксперимент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зБММб-18_Планирование эксперимент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Планирование эксперимент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AF2BB2" w:rsidRDefault="002A4FBA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8E2494">
        <w:rPr>
          <w:rStyle w:val="FontStyle16"/>
          <w:b w:val="0"/>
          <w:sz w:val="24"/>
          <w:szCs w:val="24"/>
        </w:rPr>
        <w:t>Планирование эксперимента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200AB4">
        <w:rPr>
          <w:rStyle w:val="FontStyle16"/>
          <w:b w:val="0"/>
          <w:sz w:val="24"/>
          <w:szCs w:val="24"/>
        </w:rPr>
        <w:t>Планирование эксперимента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Б1.Б.09 М</w:t>
      </w:r>
      <w:r w:rsidR="003E2360">
        <w:rPr>
          <w:rStyle w:val="FontStyle16"/>
          <w:b w:val="0"/>
          <w:sz w:val="24"/>
          <w:szCs w:val="24"/>
        </w:rPr>
        <w:t>атематика;</w:t>
      </w:r>
    </w:p>
    <w:p w:rsidR="00EB55EB" w:rsidRDefault="00EA021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Теория пределов,</w:t>
      </w:r>
      <w:r w:rsidR="00200AB4">
        <w:rPr>
          <w:rStyle w:val="FontStyle16"/>
          <w:b w:val="0"/>
          <w:sz w:val="24"/>
          <w:szCs w:val="24"/>
        </w:rPr>
        <w:t xml:space="preserve"> дифференцирование функций, нахождение частных производных, матрицы.</w:t>
      </w:r>
      <w:r>
        <w:rPr>
          <w:rStyle w:val="FontStyle16"/>
          <w:b w:val="0"/>
          <w:sz w:val="24"/>
          <w:szCs w:val="24"/>
        </w:rPr>
        <w:t xml:space="preserve"> функция Гаусса.</w:t>
      </w:r>
    </w:p>
    <w:p w:rsidR="00D52C64" w:rsidRDefault="00200AB4" w:rsidP="00200AB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200AB4">
        <w:rPr>
          <w:rStyle w:val="FontStyle16"/>
          <w:b w:val="0"/>
          <w:sz w:val="24"/>
          <w:szCs w:val="24"/>
        </w:rPr>
        <w:t>Б1.В.ДВ.03.01 Анализ числовой информации</w:t>
      </w:r>
      <w:r w:rsidR="00D52C64">
        <w:rPr>
          <w:rStyle w:val="FontStyle16"/>
          <w:b w:val="0"/>
          <w:sz w:val="24"/>
          <w:szCs w:val="24"/>
        </w:rPr>
        <w:t>;</w:t>
      </w:r>
    </w:p>
    <w:p w:rsidR="00EB55EB" w:rsidRDefault="00200AB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Случайные величины, меры центральной тенденции случайных величин, дисперсия и стандартное отклонение случайных величин, критерии Стьюдента и Фишера</w:t>
      </w:r>
      <w:r w:rsidR="00EA0214">
        <w:rPr>
          <w:rStyle w:val="FontStyle16"/>
          <w:b w:val="0"/>
          <w:sz w:val="24"/>
          <w:szCs w:val="24"/>
        </w:rPr>
        <w:t>.</w:t>
      </w:r>
    </w:p>
    <w:p w:rsidR="00200AB4" w:rsidRDefault="00200AB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3 Б1.Б.13 Метрология, стандартизация и сертификация</w:t>
      </w:r>
    </w:p>
    <w:p w:rsidR="00200AB4" w:rsidRDefault="00200AB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Погрешности измерений, методы оценки погрешностей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200AB4" w:rsidP="00200AB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200AB4">
        <w:rPr>
          <w:rStyle w:val="FontStyle16"/>
          <w:b w:val="0"/>
          <w:sz w:val="24"/>
          <w:szCs w:val="24"/>
        </w:rPr>
        <w:t>Б1.В.07 Методы оптимизации</w:t>
      </w:r>
    </w:p>
    <w:p w:rsidR="00FE245B" w:rsidRDefault="009B2C55" w:rsidP="009B2C55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B2C55">
        <w:rPr>
          <w:rStyle w:val="FontStyle16"/>
          <w:b w:val="0"/>
          <w:sz w:val="24"/>
          <w:szCs w:val="24"/>
        </w:rPr>
        <w:t>Б1.Б.21</w:t>
      </w:r>
      <w:r w:rsidR="00EA0214">
        <w:rPr>
          <w:rStyle w:val="FontStyle16"/>
          <w:b w:val="0"/>
          <w:sz w:val="24"/>
          <w:szCs w:val="24"/>
        </w:rPr>
        <w:t xml:space="preserve"> </w:t>
      </w:r>
      <w:r w:rsidRPr="009B2C55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="00FE245B"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9B2C55" w:rsidP="004311A6">
            <w:pPr>
              <w:ind w:firstLine="29"/>
              <w:jc w:val="both"/>
            </w:pPr>
            <w:r>
              <w:t>ОПК-4</w:t>
            </w:r>
            <w:r w:rsidR="00EA0214">
              <w:t xml:space="preserve"> </w:t>
            </w:r>
            <w:r w:rsidRPr="009B2C55">
              <w:t>готовностью сочетать теорию и практику для решения инженерных задач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9B2C55" w:rsidRPr="009B2C55">
              <w:rPr>
                <w:bCs/>
              </w:rPr>
              <w:t>основные определения и понятия</w:t>
            </w:r>
            <w:r w:rsidR="009B2C55">
              <w:rPr>
                <w:bCs/>
              </w:rPr>
              <w:t xml:space="preserve"> в области планирования эксперимента</w:t>
            </w:r>
            <w:r w:rsidR="00EA0214">
              <w:t>;</w:t>
            </w:r>
          </w:p>
          <w:p w:rsidR="00946C41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9B2C55">
              <w:t>методы сбора и обработки первичных экспериментальных данных</w:t>
            </w:r>
            <w:r>
              <w:t>;</w:t>
            </w:r>
          </w:p>
          <w:p w:rsidR="00EA0214" w:rsidRPr="00680EFF" w:rsidRDefault="00946C41" w:rsidP="009B2C55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9B2C55">
              <w:t>виды моделей процессов и объектов</w:t>
            </w:r>
            <w:r w:rsidR="00DC056F">
              <w:t xml:space="preserve">. 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Default="00946C41" w:rsidP="00E703C0">
            <w:pPr>
              <w:contextualSpacing/>
            </w:pPr>
            <w:r>
              <w:t>-</w:t>
            </w:r>
            <w:r w:rsidR="00E703C0">
              <w:t xml:space="preserve"> выбирать тип плана эксперимента в зависимости от исследовательской задачи;</w:t>
            </w:r>
          </w:p>
          <w:p w:rsidR="00E703C0" w:rsidRDefault="00E703C0" w:rsidP="00E703C0">
            <w:pPr>
              <w:contextualSpacing/>
            </w:pPr>
            <w:r>
              <w:t>- строить математическую модель в соответствии с выбранным планом;</w:t>
            </w:r>
          </w:p>
          <w:p w:rsidR="00E703C0" w:rsidRPr="00680EFF" w:rsidRDefault="00E703C0" w:rsidP="00E703C0">
            <w:pPr>
              <w:contextualSpacing/>
            </w:pPr>
            <w:r>
              <w:t>- оценивать точность и адекватность полученной модели, а также значимость ее коэффициентов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703C0" w:rsidRDefault="00E703C0" w:rsidP="00E703C0">
            <w:r>
              <w:t xml:space="preserve">- </w:t>
            </w:r>
            <w:r w:rsidRPr="00E703C0">
              <w:t>практическими навыками использо</w:t>
            </w:r>
            <w:r>
              <w:t>вания элементов планирования эксперимента на других дис</w:t>
            </w:r>
            <w:r w:rsidRPr="00E703C0">
              <w:t>ципли</w:t>
            </w:r>
            <w:r>
              <w:t xml:space="preserve">нах, на занятиях в аудитории, </w:t>
            </w:r>
            <w:r w:rsidRPr="00E703C0">
              <w:t xml:space="preserve">а </w:t>
            </w:r>
            <w:r>
              <w:t>также на п</w:t>
            </w:r>
            <w:r w:rsidRPr="00E703C0">
              <w:t>рактике</w:t>
            </w:r>
            <w:r w:rsidR="0007753F">
              <w:t>;</w:t>
            </w:r>
          </w:p>
          <w:p w:rsidR="00E703C0" w:rsidRPr="00680EFF" w:rsidRDefault="00E703C0" w:rsidP="00E703C0">
            <w:r>
              <w:t xml:space="preserve">- </w:t>
            </w:r>
            <w:r w:rsidR="0007753F" w:rsidRPr="0007753F">
              <w:t>навыками и методиками обобщен</w:t>
            </w:r>
            <w:r w:rsidR="0007753F">
              <w:t>ия результатов решения, экспери</w:t>
            </w:r>
            <w:r w:rsidR="0007753F" w:rsidRPr="0007753F">
              <w:t>ментальной деятельности</w:t>
            </w:r>
            <w:r w:rsidR="0007753F">
              <w:t>;</w:t>
            </w:r>
          </w:p>
          <w:p w:rsidR="00EA0214" w:rsidRPr="00680EFF" w:rsidRDefault="0007753F" w:rsidP="00946C41">
            <w:r>
              <w:t xml:space="preserve">- </w:t>
            </w:r>
            <w:r w:rsidRPr="0007753F">
              <w:t>профессиональным языком предметной области знания</w:t>
            </w:r>
            <w:r>
              <w:t>.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9B2C55" w:rsidP="004311A6">
            <w:r w:rsidRPr="009B2C55"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B2C55" w:rsidRDefault="009B2C55" w:rsidP="00EA0214">
            <w:r>
              <w:t xml:space="preserve">- </w:t>
            </w:r>
            <w:r w:rsidRPr="009B2C55">
              <w:t>основные мето</w:t>
            </w:r>
            <w:r>
              <w:t>ды исследований, используемых при планировании эксперимента;</w:t>
            </w:r>
          </w:p>
          <w:p w:rsidR="009B2C55" w:rsidRDefault="009B2C55" w:rsidP="00EA0214">
            <w:r>
              <w:t>- основные правила проведения эксперимента;</w:t>
            </w:r>
          </w:p>
          <w:p w:rsidR="00EA0214" w:rsidRPr="00680EFF" w:rsidRDefault="00946C41" w:rsidP="00EA0214">
            <w:r>
              <w:t>-</w:t>
            </w:r>
            <w:r w:rsidR="009B2C55">
              <w:t xml:space="preserve"> виды планов эксперимента.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703C0" w:rsidRDefault="00946C41" w:rsidP="00E703C0">
            <w:r>
              <w:t xml:space="preserve">- </w:t>
            </w:r>
            <w:r w:rsidR="00E703C0">
              <w:t>достраивать план эксперимента до плана более высокого порядка, в случае неудовлетворительной точности математической модели;</w:t>
            </w:r>
          </w:p>
          <w:p w:rsidR="00E703C0" w:rsidRPr="00680EFF" w:rsidRDefault="00E703C0" w:rsidP="00E703C0">
            <w:r>
              <w:t>- решать оптимизационные задачи;</w:t>
            </w:r>
          </w:p>
          <w:p w:rsidR="00EA0214" w:rsidRPr="00680EFF" w:rsidRDefault="00E703C0" w:rsidP="00EA0214">
            <w:r>
              <w:t>- анализировать результаты обработки планов эксперимента.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Default="00946C41" w:rsidP="0007753F">
            <w:r>
              <w:t xml:space="preserve">- </w:t>
            </w:r>
            <w:r w:rsidR="0007753F" w:rsidRPr="0007753F">
              <w:t>основными методами решения задач в области</w:t>
            </w:r>
            <w:r w:rsidR="0007753F">
              <w:t xml:space="preserve"> планирования эксперимента;</w:t>
            </w:r>
          </w:p>
          <w:p w:rsidR="0007753F" w:rsidRDefault="0007753F" w:rsidP="0007753F">
            <w:r>
              <w:t xml:space="preserve">- </w:t>
            </w:r>
            <w:r w:rsidRPr="0007753F">
              <w:t>способами оценивания значимости и практической пригодно</w:t>
            </w:r>
            <w:r>
              <w:t>сти по</w:t>
            </w:r>
            <w:r w:rsidRPr="0007753F">
              <w:t>лученных результатов</w:t>
            </w:r>
            <w:r>
              <w:t>;</w:t>
            </w:r>
          </w:p>
          <w:p w:rsidR="0007753F" w:rsidRPr="00680EFF" w:rsidRDefault="0007753F" w:rsidP="0007753F">
            <w:r>
              <w:t xml:space="preserve">- </w:t>
            </w:r>
            <w:r w:rsidRPr="0007753F">
              <w:t>возможностью междисциплинарного применения</w:t>
            </w:r>
            <w:r>
              <w:t xml:space="preserve"> полученных знаний.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07753F"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 w:rsidR="0007753F"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7C2F1A">
        <w:rPr>
          <w:bCs/>
          <w:u w:val="single"/>
        </w:rPr>
        <w:t>10,9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07753F">
        <w:rPr>
          <w:bCs/>
          <w:u w:val="single"/>
        </w:rPr>
        <w:t>8</w:t>
      </w:r>
      <w:r w:rsidRPr="0050466A">
        <w:rPr>
          <w:bCs/>
        </w:rPr>
        <w:t>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7C2F1A">
        <w:rPr>
          <w:bCs/>
          <w:u w:val="single"/>
        </w:rPr>
        <w:t>2,9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7C2F1A">
        <w:rPr>
          <w:bCs/>
          <w:u w:val="single"/>
        </w:rPr>
        <w:t>124,4</w:t>
      </w:r>
      <w:r w:rsidRPr="0050466A">
        <w:rPr>
          <w:bCs/>
        </w:rPr>
        <w:t>___ акад. часов;</w:t>
      </w:r>
    </w:p>
    <w:p w:rsidR="0007753F" w:rsidRPr="00680EFF" w:rsidRDefault="0007753F" w:rsidP="0007753F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="007C2F1A">
        <w:rPr>
          <w:bCs/>
          <w:u w:val="single"/>
        </w:rPr>
        <w:t>8</w:t>
      </w:r>
      <w:r w:rsidRPr="001F4320">
        <w:rPr>
          <w:bCs/>
          <w:u w:val="single"/>
        </w:rPr>
        <w:t>,7</w:t>
      </w:r>
      <w:r w:rsidRPr="0050466A">
        <w:rPr>
          <w:bCs/>
        </w:rPr>
        <w:t xml:space="preserve"> акад. часа</w:t>
      </w:r>
    </w:p>
    <w:p w:rsidR="0007753F" w:rsidRDefault="0007753F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07753F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7C2F1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07753F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7753F" w:rsidRPr="00680EFF" w:rsidTr="0007753F">
        <w:trPr>
          <w:trHeight w:val="432"/>
        </w:trPr>
        <w:tc>
          <w:tcPr>
            <w:tcW w:w="1170" w:type="pct"/>
          </w:tcPr>
          <w:p w:rsidR="0007753F" w:rsidRPr="00AF2BB2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Эксперимент, как предмет исследования</w:t>
            </w:r>
          </w:p>
        </w:tc>
        <w:tc>
          <w:tcPr>
            <w:tcW w:w="295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7753F" w:rsidRPr="00680EFF" w:rsidRDefault="007C2F1A" w:rsidP="0007753F">
            <w:pPr>
              <w:jc w:val="center"/>
            </w:pPr>
            <w:r>
              <w:t>17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7753F" w:rsidRPr="00680EFF" w:rsidRDefault="0007753F" w:rsidP="0007753F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C41587">
              <w:t>-4</w:t>
            </w:r>
            <w:r>
              <w:t xml:space="preserve">, </w:t>
            </w:r>
            <w:r w:rsidRPr="001C7BBE">
              <w:rPr>
                <w:i/>
              </w:rPr>
              <w:t>з</w:t>
            </w:r>
          </w:p>
        </w:tc>
      </w:tr>
      <w:tr w:rsidR="0007753F" w:rsidRPr="00680EFF" w:rsidTr="0007753F">
        <w:trPr>
          <w:trHeight w:val="1721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 w:rsidRPr="008B1FEE">
              <w:rPr>
                <w:bCs/>
                <w:iCs/>
              </w:rPr>
              <w:t xml:space="preserve">Основные понятия теории вероятности и математической статистики применительно к обработке </w:t>
            </w:r>
            <w:r w:rsidRPr="008B1FEE">
              <w:rPr>
                <w:bCs/>
                <w:iCs/>
              </w:rPr>
              <w:lastRenderedPageBreak/>
              <w:t>результатов экспериментов</w:t>
            </w:r>
          </w:p>
        </w:tc>
        <w:tc>
          <w:tcPr>
            <w:tcW w:w="295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3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06" w:type="pct"/>
          </w:tcPr>
          <w:p w:rsidR="0007753F" w:rsidRPr="00680EFF" w:rsidRDefault="007C2F1A" w:rsidP="0007753F">
            <w:pPr>
              <w:jc w:val="center"/>
            </w:pPr>
            <w:r>
              <w:t>17</w:t>
            </w:r>
          </w:p>
        </w:tc>
        <w:tc>
          <w:tcPr>
            <w:tcW w:w="1154" w:type="pct"/>
          </w:tcPr>
          <w:p w:rsidR="0007753F" w:rsidRPr="00B20598" w:rsidRDefault="0007753F" w:rsidP="00C41587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C41587"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07753F" w:rsidP="00C41587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C41587"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 xml:space="preserve">ПК </w:t>
            </w:r>
            <w:r w:rsidR="00C41587">
              <w:t>2</w:t>
            </w:r>
            <w:r>
              <w:t xml:space="preserve">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Обработка и анализ результатов пассивного эксперимента. Эмпирические зависимости</w:t>
            </w:r>
          </w:p>
        </w:tc>
        <w:tc>
          <w:tcPr>
            <w:tcW w:w="295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06" w:type="pct"/>
          </w:tcPr>
          <w:p w:rsidR="0007753F" w:rsidRPr="00680EFF" w:rsidRDefault="007C2F1A" w:rsidP="0007753F">
            <w:pPr>
              <w:jc w:val="center"/>
            </w:pPr>
            <w:r>
              <w:t>18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C41587">
              <w:t xml:space="preserve">-4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Полный факторный эксперимент.</w:t>
            </w:r>
          </w:p>
        </w:tc>
        <w:tc>
          <w:tcPr>
            <w:tcW w:w="295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06" w:type="pct"/>
          </w:tcPr>
          <w:p w:rsidR="0007753F" w:rsidRPr="00680EFF" w:rsidRDefault="007C2F1A" w:rsidP="0007753F">
            <w:pPr>
              <w:jc w:val="center"/>
            </w:pPr>
            <w:r>
              <w:t>18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 xml:space="preserve">практическим занятиям, </w:t>
            </w:r>
            <w:r w:rsidR="0007753F" w:rsidRPr="00B20598">
              <w:t xml:space="preserve">контрольным 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ПК</w:t>
            </w:r>
            <w:r w:rsidR="00C41587">
              <w:t xml:space="preserve">-2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Дробный факторный эксперимент.</w:t>
            </w:r>
          </w:p>
        </w:tc>
        <w:tc>
          <w:tcPr>
            <w:tcW w:w="295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7753F" w:rsidRPr="00680EFF" w:rsidRDefault="007C2F1A" w:rsidP="007C2F1A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06" w:type="pct"/>
          </w:tcPr>
          <w:p w:rsidR="0007753F" w:rsidRPr="00680EFF" w:rsidRDefault="007C2F1A" w:rsidP="0007753F">
            <w:pPr>
              <w:jc w:val="center"/>
            </w:pPr>
            <w:r>
              <w:t>18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  <w:r w:rsidR="0007753F" w:rsidRPr="00B20598">
              <w:t xml:space="preserve">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 работ,</w:t>
            </w:r>
            <w:r w:rsidRPr="00680EFF">
              <w:t xml:space="preserve"> контрольная работа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C41587">
              <w:t xml:space="preserve">-4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Планирование эксперимента при поиске оптимальных условий.</w:t>
            </w:r>
          </w:p>
        </w:tc>
        <w:tc>
          <w:tcPr>
            <w:tcW w:w="295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Default="00C41587" w:rsidP="0007753F">
            <w:pPr>
              <w:jc w:val="center"/>
            </w:pPr>
            <w:r>
              <w:t xml:space="preserve">ПК-2 </w:t>
            </w:r>
            <w:proofErr w:type="spellStart"/>
            <w:r w:rsidR="0007753F">
              <w:rPr>
                <w:i/>
              </w:rPr>
              <w:t>у,в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4"/>
              <w:widowControl/>
              <w:tabs>
                <w:tab w:val="left" w:pos="664"/>
              </w:tabs>
              <w:suppressAutoHyphens/>
              <w:ind w:left="97" w:firstLine="284"/>
            </w:pPr>
            <w:r>
              <w:t xml:space="preserve">7. Практическое применение современных методов планирования эксперимента при проектировании и исследовании технологических процессов получения и обработки </w:t>
            </w:r>
            <w:proofErr w:type="spellStart"/>
            <w:r>
              <w:t>наноматериалов</w:t>
            </w:r>
            <w:proofErr w:type="spellEnd"/>
          </w:p>
        </w:tc>
        <w:tc>
          <w:tcPr>
            <w:tcW w:w="295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7C2F1A" w:rsidP="0007753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07753F" w:rsidRPr="00680EFF" w:rsidRDefault="007C2F1A" w:rsidP="007C2F1A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C41587">
              <w:rPr>
                <w:i/>
              </w:rPr>
              <w:t>,</w:t>
            </w:r>
            <w:r>
              <w:rPr>
                <w:i/>
              </w:rPr>
              <w:t>4</w:t>
            </w:r>
          </w:p>
        </w:tc>
        <w:tc>
          <w:tcPr>
            <w:tcW w:w="1154" w:type="pct"/>
          </w:tcPr>
          <w:p w:rsidR="0007753F" w:rsidRPr="002D6FDE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  <w:r>
              <w:t>,</w:t>
            </w:r>
            <w:r w:rsidRPr="00680EFF">
              <w:t xml:space="preserve"> </w:t>
            </w:r>
            <w:r w:rsidR="0007753F" w:rsidRPr="00680EFF">
              <w:t>контрольная работа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 w:rsidRPr="004A5911">
              <w:t>ОПК</w:t>
            </w:r>
            <w:r w:rsidR="00C41587">
              <w:t xml:space="preserve">-2 </w:t>
            </w:r>
            <w:proofErr w:type="spellStart"/>
            <w:r>
              <w:rPr>
                <w:i/>
              </w:rPr>
              <w:t>з,у,в</w:t>
            </w:r>
            <w:proofErr w:type="spellEnd"/>
          </w:p>
        </w:tc>
      </w:tr>
      <w:tr w:rsidR="000532FA" w:rsidRPr="00680EFF" w:rsidTr="0007753F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7C2F1A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38" w:type="pct"/>
          </w:tcPr>
          <w:p w:rsidR="000532FA" w:rsidRPr="00680EFF" w:rsidRDefault="007C2F1A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0532FA" w:rsidRPr="00680EFF" w:rsidRDefault="000532FA" w:rsidP="00C41587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680EFF" w:rsidRDefault="00C41587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06" w:type="pct"/>
          </w:tcPr>
          <w:p w:rsidR="000532FA" w:rsidRPr="00680EFF" w:rsidRDefault="007C2F1A" w:rsidP="007C2F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124,4</w:t>
            </w:r>
            <w:r w:rsidR="00C41587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8</w:t>
            </w:r>
            <w:r w:rsidR="00C41587">
              <w:rPr>
                <w:b/>
                <w:i/>
              </w:rPr>
              <w:t>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C41587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 xml:space="preserve">Лекционный материал закрепляется в ходе </w:t>
      </w:r>
      <w:r w:rsidR="00C41587">
        <w:rPr>
          <w:iCs/>
          <w:color w:val="000000"/>
        </w:rPr>
        <w:t>практических</w:t>
      </w:r>
      <w:r w:rsidRPr="00680EFF">
        <w:rPr>
          <w:iCs/>
          <w:color w:val="000000"/>
        </w:rPr>
        <w:t xml:space="preserve">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</w:t>
      </w:r>
      <w:r w:rsidR="00C41587">
        <w:rPr>
          <w:iCs/>
          <w:color w:val="000000"/>
        </w:rPr>
        <w:t>практических</w:t>
      </w:r>
      <w:r w:rsidR="00A15061">
        <w:rPr>
          <w:iCs/>
          <w:color w:val="000000"/>
        </w:rPr>
        <w:t xml:space="preserve">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21366B">
        <w:t>Планирование эксперимента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</w:t>
      </w:r>
      <w:r w:rsidR="00A15061">
        <w:t>вки к защите лабораторных работ</w:t>
      </w:r>
      <w:r>
        <w:t xml:space="preserve">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Понятие модели, моделирования.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Предметные, аналоговые и математические модели.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Общая схема метода моделирования сложных систем.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Метод математического моделирования.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Классификация моделей.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Перспективы применения многопроцессорных вычислительных систем.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Построение стационарной модели по дискретному набору данных.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Связь задачи идентификации параметров стационарной модели типа “черный ящик” с задачей интерполяции и задачей наилучшего приближения функции.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Линейная интерполяция.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Практический способ интерполяции.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Метод наименьших квадратов.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Дифференциальные модели.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Дайте определение эксперимента.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Какие вопросы решает планирование эксперимента?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Классификация экспериментов.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Дайте определение математической модели объекта исследо</w:t>
      </w:r>
      <w:r w:rsidRPr="005457A1">
        <w:rPr>
          <w:color w:val="000000"/>
          <w:szCs w:val="19"/>
        </w:rPr>
        <w:softHyphen/>
        <w:t>вания.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Что называют факторами, областью определения факторов?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A15061">
        <w:rPr>
          <w:color w:val="000000"/>
          <w:szCs w:val="19"/>
        </w:rPr>
        <w:t>Что называют функцией отклика и поверхностью отклика?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Виды математических моделей.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Перечислите этапы проведения экспериментальных исследо</w:t>
      </w:r>
      <w:r w:rsidRPr="005457A1">
        <w:rPr>
          <w:color w:val="000000"/>
          <w:szCs w:val="19"/>
        </w:rPr>
        <w:softHyphen/>
        <w:t>ваний.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Перечислите основные задачи эксперимента.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Дайте определение параметра оптимизации.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Перечислите требования, предъявляемые к параметру опти</w:t>
      </w:r>
      <w:r w:rsidRPr="005457A1">
        <w:rPr>
          <w:color w:val="000000"/>
          <w:szCs w:val="19"/>
        </w:rPr>
        <w:softHyphen/>
        <w:t>мизации.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Что наз</w:t>
      </w:r>
      <w:r w:rsidRPr="00A15061">
        <w:rPr>
          <w:color w:val="000000"/>
          <w:szCs w:val="19"/>
        </w:rPr>
        <w:t>ыв</w:t>
      </w:r>
      <w:r w:rsidRPr="005457A1">
        <w:rPr>
          <w:color w:val="000000"/>
          <w:szCs w:val="19"/>
        </w:rPr>
        <w:t>ают обобщенным параметром оптимизации?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Назначение шкалы желательности.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Изобразите кривую желательности.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lastRenderedPageBreak/>
        <w:t>Требования, предъявляемые к факторам.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Что называют уровнями факторов и интервалом варьирова</w:t>
      </w:r>
      <w:r w:rsidRPr="005457A1">
        <w:rPr>
          <w:color w:val="000000"/>
          <w:szCs w:val="19"/>
        </w:rPr>
        <w:softHyphen/>
        <w:t>ния факторов?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Какие ограничения необходимо учитывать при выборе ин</w:t>
      </w:r>
      <w:r w:rsidRPr="005457A1">
        <w:rPr>
          <w:color w:val="000000"/>
          <w:szCs w:val="19"/>
        </w:rPr>
        <w:softHyphen/>
        <w:t>тервала варьирования?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Как зависит количество опытов в эксперименте от числа уровней факторов?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A15061">
        <w:rPr>
          <w:color w:val="000000"/>
          <w:szCs w:val="19"/>
        </w:rPr>
        <w:t>Дайте определение факторного пространства.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A15061" w:rsidTr="004311A6">
        <w:tc>
          <w:tcPr>
            <w:tcW w:w="9345" w:type="dxa"/>
            <w:gridSpan w:val="3"/>
          </w:tcPr>
          <w:p w:rsidR="00A15061" w:rsidRPr="00680EFF" w:rsidRDefault="00A15061" w:rsidP="00A15061">
            <w:pPr>
              <w:ind w:firstLine="29"/>
              <w:jc w:val="both"/>
            </w:pPr>
            <w:r>
              <w:t xml:space="preserve">ОПК-4 </w:t>
            </w:r>
            <w:r w:rsidRPr="009B2C55">
              <w:t>готовностью сочетать теорию и практику для решения инженерных задач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15061" w:rsidRDefault="00A15061" w:rsidP="00A15061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Pr="009B2C55">
              <w:rPr>
                <w:bCs/>
              </w:rPr>
              <w:t>основные определения и понятия</w:t>
            </w:r>
            <w:r>
              <w:rPr>
                <w:bCs/>
              </w:rPr>
              <w:t xml:space="preserve"> в области планирования эксперимента</w:t>
            </w:r>
            <w:r>
              <w:t>;</w:t>
            </w:r>
          </w:p>
          <w:p w:rsidR="00A15061" w:rsidRDefault="00A15061" w:rsidP="00A15061">
            <w:pPr>
              <w:contextualSpacing/>
              <w:jc w:val="both"/>
            </w:pPr>
            <w:r>
              <w:t>- методы сбора и обработки первичных экспериментальных данных;</w:t>
            </w:r>
          </w:p>
          <w:p w:rsidR="00A15061" w:rsidRPr="00680EFF" w:rsidRDefault="00A15061" w:rsidP="00A15061">
            <w:pPr>
              <w:contextualSpacing/>
              <w:jc w:val="both"/>
            </w:pPr>
            <w:r>
              <w:t xml:space="preserve">- виды моделей процессов и объектов. </w:t>
            </w:r>
          </w:p>
        </w:tc>
        <w:tc>
          <w:tcPr>
            <w:tcW w:w="4672" w:type="dxa"/>
          </w:tcPr>
          <w:p w:rsidR="00A15061" w:rsidRPr="00306CA4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 w:rsidRPr="008B702F">
              <w:t>1. Понятие эксперимента.</w:t>
            </w:r>
          </w:p>
          <w:p w:rsidR="00A15061" w:rsidRPr="008B702F" w:rsidRDefault="00A15061" w:rsidP="00A15061">
            <w:r>
              <w:t xml:space="preserve">2. </w:t>
            </w:r>
            <w:r w:rsidRPr="008B702F">
              <w:t>Принятие решений перед планированием активного эксперимента.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3</w:t>
            </w:r>
            <w:r w:rsidRPr="008B702F">
              <w:t>. Классификация видов экспериментальных исследований.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4</w:t>
            </w:r>
            <w:r w:rsidRPr="008B702F">
              <w:t>. Случайные величины. Законы распределения дискретных и непрерывных случайных величин.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5</w:t>
            </w:r>
            <w:r w:rsidRPr="008B702F">
              <w:t>. Основные числовые характеристики случайных величин.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6</w:t>
            </w:r>
            <w:r w:rsidRPr="008B702F">
              <w:t>. Нормальный закон распред</w:t>
            </w:r>
            <w:r>
              <w:t xml:space="preserve">еления </w:t>
            </w:r>
            <w:r w:rsidRPr="008B702F">
              <w:t>случайной величины.</w:t>
            </w:r>
          </w:p>
          <w:p w:rsidR="00A15061" w:rsidRPr="00220A8D" w:rsidRDefault="00A15061" w:rsidP="00A15061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>
              <w:t xml:space="preserve">7. </w:t>
            </w:r>
            <w:r w:rsidRPr="008B702F">
              <w:t>Регрессионный анализ. Основные понятия.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15061" w:rsidRDefault="00A15061" w:rsidP="00A15061">
            <w:pPr>
              <w:contextualSpacing/>
            </w:pPr>
            <w:r>
              <w:t>- выбирать тип плана эксперимента в зависимости от исследовательской задачи;</w:t>
            </w:r>
          </w:p>
          <w:p w:rsidR="00A15061" w:rsidRDefault="00A15061" w:rsidP="00A15061">
            <w:pPr>
              <w:contextualSpacing/>
            </w:pPr>
            <w:r>
              <w:t>- строить математическую модель в соответствии с выбранным планом;</w:t>
            </w:r>
          </w:p>
          <w:p w:rsidR="00A15061" w:rsidRPr="00680EFF" w:rsidRDefault="00A15061" w:rsidP="00A15061">
            <w:pPr>
              <w:contextualSpacing/>
            </w:pPr>
            <w:r>
              <w:t>- оценивать точность и адекватность полученной модели, а также значимость ее коэффициентов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 работ</w:t>
            </w:r>
          </w:p>
          <w:p w:rsidR="00A15061" w:rsidRDefault="00A15061" w:rsidP="00A15061">
            <w:r>
              <w:t xml:space="preserve">1. </w:t>
            </w:r>
            <w:r w:rsidRPr="00F34FE0">
              <w:t>Законы распределения и числовые характеристики случайных величин</w:t>
            </w:r>
          </w:p>
          <w:p w:rsidR="00A15061" w:rsidRDefault="00A15061" w:rsidP="00A15061">
            <w:r>
              <w:t>2. Аппроксимация экспериментальных данных</w:t>
            </w:r>
          </w:p>
          <w:p w:rsidR="00A15061" w:rsidRPr="00A15061" w:rsidRDefault="00A15061" w:rsidP="00A15061">
            <w:r>
              <w:t>3. Оценка и отсев погрешностей результатов опытов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15061" w:rsidRDefault="00A15061" w:rsidP="00A15061">
            <w:r>
              <w:t xml:space="preserve">- </w:t>
            </w:r>
            <w:r w:rsidRPr="00E703C0">
              <w:t>практическими навыками использо</w:t>
            </w:r>
            <w:r>
              <w:t>вания элементов планирования эксперимента на других дис</w:t>
            </w:r>
            <w:r w:rsidRPr="00E703C0">
              <w:t>ципли</w:t>
            </w:r>
            <w:r>
              <w:t xml:space="preserve">нах, на занятиях в аудитории, </w:t>
            </w:r>
            <w:r w:rsidRPr="00E703C0">
              <w:t xml:space="preserve">а </w:t>
            </w:r>
            <w:r>
              <w:t>также на п</w:t>
            </w:r>
            <w:r w:rsidRPr="00E703C0">
              <w:t>рактике</w:t>
            </w:r>
            <w:r>
              <w:t>;</w:t>
            </w:r>
          </w:p>
          <w:p w:rsidR="00A15061" w:rsidRPr="00680EFF" w:rsidRDefault="00A15061" w:rsidP="00A15061">
            <w:r>
              <w:t xml:space="preserve">- </w:t>
            </w:r>
            <w:r w:rsidRPr="0007753F">
              <w:t>навыками и методиками обобщен</w:t>
            </w:r>
            <w:r>
              <w:t>ия результатов решения, экспери</w:t>
            </w:r>
            <w:r w:rsidRPr="0007753F">
              <w:t>ментальной деятельности</w:t>
            </w:r>
            <w:r>
              <w:t>;</w:t>
            </w:r>
          </w:p>
          <w:p w:rsidR="00A15061" w:rsidRPr="00680EFF" w:rsidRDefault="00A15061" w:rsidP="00A15061">
            <w:r>
              <w:t xml:space="preserve">- </w:t>
            </w:r>
            <w:r w:rsidRPr="0007753F">
              <w:t>профессиональным языком предметной области знания</w:t>
            </w:r>
            <w:r>
              <w:t>.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15061" w:rsidRPr="00F743F9" w:rsidRDefault="00A15061" w:rsidP="00A15061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A15061" w:rsidTr="004311A6">
        <w:tc>
          <w:tcPr>
            <w:tcW w:w="9345" w:type="dxa"/>
            <w:gridSpan w:val="3"/>
          </w:tcPr>
          <w:p w:rsidR="00A15061" w:rsidRPr="00680EFF" w:rsidRDefault="00A15061" w:rsidP="00A15061">
            <w:r w:rsidRPr="009B2C55"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15061" w:rsidRDefault="00A15061" w:rsidP="00A15061">
            <w:r>
              <w:t xml:space="preserve">- </w:t>
            </w:r>
            <w:r w:rsidRPr="009B2C55">
              <w:t>основные мето</w:t>
            </w:r>
            <w:r>
              <w:t>ды исследований, используемых при планировании эксперимента;</w:t>
            </w:r>
          </w:p>
          <w:p w:rsidR="00A15061" w:rsidRDefault="00A15061" w:rsidP="00A15061">
            <w:r>
              <w:t>- основные правила проведения эксперимента;</w:t>
            </w:r>
          </w:p>
          <w:p w:rsidR="00A15061" w:rsidRPr="00680EFF" w:rsidRDefault="00A15061" w:rsidP="00A15061">
            <w:r>
              <w:t>- виды планов эксперимента.</w:t>
            </w:r>
          </w:p>
        </w:tc>
        <w:tc>
          <w:tcPr>
            <w:tcW w:w="4672" w:type="dxa"/>
          </w:tcPr>
          <w:p w:rsidR="00A15061" w:rsidRPr="00306CA4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8</w:t>
            </w:r>
            <w:r w:rsidRPr="008B702F">
              <w:t>. Определение коэффициентов уравнения регрессии. Проверка значимости коэффициентов уравнения регрессии.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9. </w:t>
            </w:r>
            <w:r w:rsidRPr="008B702F">
              <w:t>Планирование эксперимента первого и второго порядков. Основные понятия.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10</w:t>
            </w:r>
            <w:r w:rsidRPr="008B702F">
              <w:t>. Полный факторный эксперимент.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11. </w:t>
            </w:r>
            <w:r w:rsidRPr="008B702F">
              <w:t>Дробный факторный эксперимент.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12. </w:t>
            </w:r>
            <w:r w:rsidRPr="008B702F">
              <w:t>Статистический анализ результатов активного эксперимента.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13. </w:t>
            </w:r>
            <w:r w:rsidRPr="008B702F">
              <w:t>Планирование эксперимента при поиске оптимальных условий.</w:t>
            </w:r>
          </w:p>
          <w:p w:rsidR="00A15061" w:rsidRPr="00220A8D" w:rsidRDefault="00A15061" w:rsidP="00A15061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>
              <w:t xml:space="preserve">14. Практическое применение современных методов планирования эксперимента при проектировании и исследовании технологических процессов получения и обработки </w:t>
            </w:r>
            <w:proofErr w:type="spellStart"/>
            <w:r>
              <w:t>наноматериалов</w:t>
            </w:r>
            <w:proofErr w:type="spellEnd"/>
            <w:r>
              <w:t>.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15061" w:rsidRDefault="00A15061" w:rsidP="00A15061">
            <w:r>
              <w:t>- достраивать план эксперимента до плана более высокого порядка, в случае неудовлетворительной точности математической модели;</w:t>
            </w:r>
          </w:p>
          <w:p w:rsidR="00A15061" w:rsidRPr="00680EFF" w:rsidRDefault="00A15061" w:rsidP="00A15061">
            <w:r>
              <w:t>- решать оптимизационные задачи;</w:t>
            </w:r>
          </w:p>
          <w:p w:rsidR="00A15061" w:rsidRPr="00680EFF" w:rsidRDefault="00A15061" w:rsidP="00A15061">
            <w:r>
              <w:t>- анализировать результаты обработки планов эксперимента.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 работ</w:t>
            </w:r>
          </w:p>
          <w:p w:rsidR="00A15061" w:rsidRDefault="00A15061" w:rsidP="00A15061">
            <w:r>
              <w:t>4. Построение плана и статистическая обработка результатов полного факторного эксперимента</w:t>
            </w:r>
          </w:p>
          <w:p w:rsidR="00A15061" w:rsidRPr="00A15061" w:rsidRDefault="00A15061" w:rsidP="00A15061">
            <w:r>
              <w:t>5. Планирование эксперимента при поиске оптимальных условий. Метод крутого восхождения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15061" w:rsidRDefault="00A15061" w:rsidP="00A15061">
            <w:r>
              <w:t xml:space="preserve">- </w:t>
            </w:r>
            <w:r w:rsidRPr="0007753F">
              <w:t>основными методами решения задач в области</w:t>
            </w:r>
            <w:r>
              <w:t xml:space="preserve"> планирования эксперимента;</w:t>
            </w:r>
          </w:p>
          <w:p w:rsidR="00A15061" w:rsidRDefault="00A15061" w:rsidP="00A15061">
            <w:r>
              <w:t xml:space="preserve">- </w:t>
            </w:r>
            <w:r w:rsidRPr="0007753F">
              <w:t>способами оценивания значимости и практической пригодно</w:t>
            </w:r>
            <w:r>
              <w:t>сти по</w:t>
            </w:r>
            <w:r w:rsidRPr="0007753F">
              <w:t>лученных результатов</w:t>
            </w:r>
            <w:r>
              <w:t>;</w:t>
            </w:r>
          </w:p>
          <w:p w:rsidR="00A15061" w:rsidRPr="00680EFF" w:rsidRDefault="00A15061" w:rsidP="00A15061">
            <w:r>
              <w:t xml:space="preserve">- </w:t>
            </w:r>
            <w:r w:rsidRPr="0007753F">
              <w:t>возможностью междисциплинарного применения</w:t>
            </w:r>
            <w:r>
              <w:t xml:space="preserve"> полученных знаний.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15061" w:rsidRPr="00E37716" w:rsidRDefault="00A15061" w:rsidP="00A15061">
            <w:pPr>
              <w:rPr>
                <w:i/>
              </w:rPr>
            </w:pPr>
            <w:r>
              <w:t>2</w:t>
            </w:r>
            <w:r w:rsidRPr="00E37716">
              <w:t>.</w:t>
            </w:r>
            <w:r>
              <w:t xml:space="preserve"> Второй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A15061" w:rsidRPr="005635D6" w:rsidRDefault="00A15061" w:rsidP="00A15061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A15061" w:rsidRPr="005635D6" w:rsidRDefault="00A15061" w:rsidP="00A15061">
      <w:pPr>
        <w:ind w:firstLine="567"/>
        <w:jc w:val="both"/>
      </w:pPr>
      <w:r w:rsidRPr="005635D6">
        <w:t>Промежуточная аттестация по дисциплине «</w:t>
      </w:r>
      <w:r w:rsidR="00A475C8">
        <w:t xml:space="preserve">Планирование </w:t>
      </w:r>
      <w:proofErr w:type="spellStart"/>
      <w:r w:rsidR="00A475C8">
        <w:t>экперимента</w:t>
      </w:r>
      <w:proofErr w:type="spellEnd"/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15061" w:rsidRPr="005635D6" w:rsidRDefault="00A15061" w:rsidP="00A15061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</w:t>
      </w:r>
      <w:r w:rsidRPr="005635D6">
        <w:lastRenderedPageBreak/>
        <w:t xml:space="preserve">применяет их в ситуациях повышенной сложности. 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11A6" w:rsidRPr="004311A6" w:rsidRDefault="00A15061" w:rsidP="00A15061">
      <w:pPr>
        <w:ind w:firstLine="567"/>
        <w:rPr>
          <w:szCs w:val="20"/>
        </w:rPr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A15061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5061" w:rsidRPr="00A15061">
        <w:t>Кальченко</w:t>
      </w:r>
      <w:proofErr w:type="spellEnd"/>
      <w:r w:rsidR="00A15061" w:rsidRPr="00A15061">
        <w:t xml:space="preserve">, А. А. Планирование эксперимента и обработка результатов с использованием ЭВМ [Электронный ресурс] : учебное пособие / А. А. </w:t>
      </w:r>
      <w:proofErr w:type="spellStart"/>
      <w:r w:rsidR="00A15061" w:rsidRPr="00A15061">
        <w:t>Кальченко</w:t>
      </w:r>
      <w:proofErr w:type="spellEnd"/>
      <w:r w:rsidR="00A15061" w:rsidRPr="00A15061">
        <w:t>, К. Г. Пащенко ; МГТУ. - Магнитогорск : МГТУ, 2017. - 1 электрон. опт. диск (CD-ROM). - Режим доступа: https://magtu.informsystema.ru/uploader/fileUpload?name=3044.pdf&amp;show=dcatalogues/1/1135031/3044.pdf&amp;view=true. - Макрообъект.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="00A15061" w:rsidRPr="00A15061">
        <w:t xml:space="preserve">Методология научных исследований. Постановка и проведение эксперимента [Электронный ресурс] : учебное пособие / [Р. Р. Дема, Р. Н. </w:t>
      </w:r>
      <w:proofErr w:type="spellStart"/>
      <w:r w:rsidR="00A15061" w:rsidRPr="00A15061">
        <w:t>Амиров</w:t>
      </w:r>
      <w:proofErr w:type="spellEnd"/>
      <w:r w:rsidR="00A15061" w:rsidRPr="00A15061">
        <w:t xml:space="preserve">, М. В. Харченко, Е. А. </w:t>
      </w:r>
      <w:proofErr w:type="spellStart"/>
      <w:r w:rsidR="00A15061" w:rsidRPr="00A15061">
        <w:t>Слепова</w:t>
      </w:r>
      <w:proofErr w:type="spellEnd"/>
      <w:r w:rsidR="00A15061" w:rsidRPr="00A15061">
        <w:t>] ; МГТУ. - Магнитогорск : МГТУ, 2017. - 1 электрон. опт. диск (CD-ROM). - Режим доступа: https://magtu.informsystema.ru/uploader/fileUpload?name=2943.pdf&amp;show=dcatalogues/1/1134720/2943.pdf&amp;view=true.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="00A15061" w:rsidRPr="00A15061">
        <w:rPr>
          <w:rStyle w:val="FontStyle31"/>
          <w:rFonts w:ascii="Times New Roman" w:hAnsi="Times New Roman"/>
          <w:sz w:val="24"/>
          <w:szCs w:val="24"/>
        </w:rPr>
        <w:t>Оншин</w:t>
      </w:r>
      <w:proofErr w:type="spellEnd"/>
      <w:r w:rsidR="00A15061" w:rsidRPr="00A15061">
        <w:rPr>
          <w:rStyle w:val="FontStyle31"/>
          <w:rFonts w:ascii="Times New Roman" w:hAnsi="Times New Roman"/>
          <w:sz w:val="24"/>
          <w:szCs w:val="24"/>
        </w:rPr>
        <w:t xml:space="preserve">, Н. В. Основы теории планирования инженерного эксперимента [Электронный ресурс] : учебное пособие / Н. В. </w:t>
      </w:r>
      <w:proofErr w:type="spellStart"/>
      <w:r w:rsidR="00A15061" w:rsidRPr="00A15061">
        <w:rPr>
          <w:rStyle w:val="FontStyle31"/>
          <w:rFonts w:ascii="Times New Roman" w:hAnsi="Times New Roman"/>
          <w:sz w:val="24"/>
          <w:szCs w:val="24"/>
        </w:rPr>
        <w:t>Оншин</w:t>
      </w:r>
      <w:proofErr w:type="spellEnd"/>
      <w:r w:rsidR="00A15061" w:rsidRPr="00A15061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Магнитогорск, 2009. - 146 с. : ил., табл. - Режим доступа: https://magtu.informsystema.ru/uploader/fileUpload?name=279.pdf&amp;show=dcatalogues/1/1061152/279.pdf&amp;view=true.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Парсункин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, Б. Н. Использование экспериментально-статистических методов моделирования для управления технологическими процессами [Электронный ресурс] : учебное пособие / Б. Н.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Парсункин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, С. М. Андреев, Е. С.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Рябчикова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Магнитогорск, 2012. - 177 с. : ил., граф., схемы, табл. - Режим доступа: https://magtu.informsystema.ru/uploader/fileUpload?name=597.pdf&amp;show=dcatalogues/1/1103150/597.pdf&amp;view=true. - Макрообъект. - ISBN 978-5-9967-0292-3.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="00F04621" w:rsidRPr="00F04621">
        <w:rPr>
          <w:rStyle w:val="FontStyle31"/>
          <w:rFonts w:ascii="Times New Roman" w:hAnsi="Times New Roman"/>
          <w:sz w:val="24"/>
          <w:szCs w:val="24"/>
        </w:rPr>
        <w:t>Рубин, Г. Ш. Планирование эксперимента [Электронный ресурс] : учебное пособие / Г. Ш. Рубин, Е. Г. Касаткина, И. А. Михайловский ; МГТУ. - Магнитогорск : МГТУ, 2017. - 1 электрон. опт. диск (CD-ROM). - Режим доступа: https://magtu.informsystema.ru/uploader/fileUpload?name=3040.pdf&amp;show=dcatalogues/1/1135025/3040.pdf&amp;view=true.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>4</w:t>
      </w:r>
      <w:r w:rsidR="00F04621" w:rsidRPr="00F04621">
        <w:t xml:space="preserve"> </w:t>
      </w:r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Рябчиков, М. Ю. Теория и техника инженерного эксперимента: курс лекций [Электронный ресурс] : учебное пособие / М. Ю. Рябчиков, Е. С.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Рябчикова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>. - Магнитогорск : МГТУ, 2012. - 1 электрон. опт. диск (CD-ROM). - Режим доступа: https://magtu.informsystema.ru/uploader/fileUpload?name=1012.pdf&amp;show=dcatalogues/1/1119225/1012.pdf&amp;view=true. - Макрообъект.</w:t>
      </w:r>
    </w:p>
    <w:p w:rsidR="00B30F32" w:rsidRPr="00B30F32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lastRenderedPageBreak/>
        <w:t xml:space="preserve">5. </w:t>
      </w:r>
      <w:proofErr w:type="spellStart"/>
      <w:r w:rsidR="00F04621" w:rsidRPr="00F04621">
        <w:t>Акманова</w:t>
      </w:r>
      <w:proofErr w:type="spellEnd"/>
      <w:r w:rsidR="00F04621" w:rsidRPr="00F04621">
        <w:t xml:space="preserve">, З. С. Статические методы обработки экспериментальных данных [Электронный ресурс] : электронное учебное пособие / З. С. </w:t>
      </w:r>
      <w:proofErr w:type="spellStart"/>
      <w:r w:rsidR="00F04621" w:rsidRPr="00F04621">
        <w:t>Акманова</w:t>
      </w:r>
      <w:proofErr w:type="spellEnd"/>
      <w:r w:rsidR="00F04621" w:rsidRPr="00F04621">
        <w:t xml:space="preserve">, Н. И. </w:t>
      </w:r>
      <w:proofErr w:type="spellStart"/>
      <w:r w:rsidR="00F04621" w:rsidRPr="00F04621">
        <w:t>Кимайкина</w:t>
      </w:r>
      <w:proofErr w:type="spellEnd"/>
      <w:r w:rsidR="00F04621" w:rsidRPr="00F04621">
        <w:t>. - Б. м. : Б. и., Б. г. - 1 электрон. опт. диск (CD-ROM). - Режим доступа: https://magtu.informsystema.ru/uploader/fileUpload?name=971.pdf&amp;show=dcatalogues/1/1119068/971.pdf&amp;view=true. - Макрообъект.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Рябчиков, М. Ю. Планирование эксперимента и обработка результатов измерений [Электронный ресурс] : практикум / М. Ю. Рябчиков, Е. С.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Рябчикова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Магнитогорск, 2013. - 141 с. : ил.,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гистогр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>., граф., схемы, табл. - Режим доступа: https://magtu.informsystema.ru/uploader/fileUpload?name=619.pdf&amp;show=dcatalogues/1/1107849/619.pdf&amp;view=true. - Макрообъект. - ISBN 978-5-9967-0379-1.</w:t>
      </w:r>
    </w:p>
    <w:p w:rsidR="00B30F32" w:rsidRPr="001C7BBE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F04621">
        <w:t xml:space="preserve">Степанов, П.Е. Планирование эксперимента [Электронный ресурс] : учебно-методическое пособие / П.Е. Степанов. — Электрон. дан. — Москва : МИСИС, 2017. — 22 с. — Режим доступа: https://e.lanbook.com/book/108113. — </w:t>
      </w:r>
      <w:proofErr w:type="spellStart"/>
      <w:r w:rsidR="00F04621">
        <w:t>Загл</w:t>
      </w:r>
      <w:proofErr w:type="spellEnd"/>
      <w:r w:rsidR="00F04621">
        <w:t>. с экрана.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054440" w:rsidP="00054440">
      <w:pPr>
        <w:ind w:firstLine="567"/>
        <w:jc w:val="both"/>
        <w:rPr>
          <w:rStyle w:val="FontStyle18"/>
          <w:b w:val="0"/>
          <w:sz w:val="24"/>
          <w:szCs w:val="24"/>
        </w:rPr>
      </w:pPr>
      <w:r w:rsidRPr="00054440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054440" w:rsidRPr="009278A5" w:rsidRDefault="00054440" w:rsidP="00054440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054440" w:rsidRPr="009278A5" w:rsidRDefault="00054440" w:rsidP="00054440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054440" w:rsidRPr="009278A5" w:rsidRDefault="0020170E" w:rsidP="00054440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054440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054440" w:rsidRPr="009278A5">
        <w:rPr>
          <w:color w:val="000000"/>
          <w:lang w:val="en-US"/>
        </w:rPr>
        <w:t>URL</w:t>
      </w:r>
      <w:r w:rsidR="00054440" w:rsidRPr="009278A5">
        <w:rPr>
          <w:color w:val="000000"/>
        </w:rPr>
        <w:t xml:space="preserve">: </w:t>
      </w:r>
      <w:hyperlink r:id="rId14" w:history="1">
        <w:r w:rsidR="00054440" w:rsidRPr="009278A5">
          <w:rPr>
            <w:color w:val="000000"/>
            <w:lang w:val="en-US"/>
          </w:rPr>
          <w:t>http</w:t>
        </w:r>
        <w:r w:rsidR="00054440" w:rsidRPr="009278A5">
          <w:rPr>
            <w:color w:val="000000"/>
          </w:rPr>
          <w:t>://</w:t>
        </w:r>
        <w:r w:rsidR="00054440" w:rsidRPr="009278A5">
          <w:rPr>
            <w:color w:val="000000"/>
            <w:lang w:val="en-US"/>
          </w:rPr>
          <w:t>window</w:t>
        </w:r>
        <w:r w:rsidR="00054440" w:rsidRPr="009278A5">
          <w:rPr>
            <w:color w:val="000000"/>
          </w:rPr>
          <w:t>.</w:t>
        </w:r>
        <w:proofErr w:type="spellStart"/>
        <w:r w:rsidR="00054440" w:rsidRPr="009278A5">
          <w:rPr>
            <w:color w:val="000000"/>
            <w:lang w:val="en-US"/>
          </w:rPr>
          <w:t>edu</w:t>
        </w:r>
        <w:proofErr w:type="spellEnd"/>
        <w:r w:rsidR="00054440" w:rsidRPr="009278A5">
          <w:rPr>
            <w:color w:val="000000"/>
          </w:rPr>
          <w:t>.</w:t>
        </w:r>
        <w:proofErr w:type="spellStart"/>
        <w:r w:rsidR="00054440" w:rsidRPr="009278A5">
          <w:rPr>
            <w:color w:val="000000"/>
            <w:lang w:val="en-US"/>
          </w:rPr>
          <w:t>ru</w:t>
        </w:r>
        <w:proofErr w:type="spellEnd"/>
        <w:r w:rsidR="00054440" w:rsidRPr="009278A5">
          <w:rPr>
            <w:color w:val="000000"/>
          </w:rPr>
          <w:t>/</w:t>
        </w:r>
      </w:hyperlink>
      <w:r w:rsidR="00054440" w:rsidRPr="009278A5">
        <w:rPr>
          <w:color w:val="000000"/>
        </w:rPr>
        <w:t>.</w:t>
      </w:r>
    </w:p>
    <w:p w:rsidR="00054440" w:rsidRPr="009278A5" w:rsidRDefault="0020170E" w:rsidP="00054440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054440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054440" w:rsidRPr="009278A5">
        <w:rPr>
          <w:color w:val="000000"/>
          <w:lang w:val="en-US"/>
        </w:rPr>
        <w:t>w</w:t>
      </w:r>
      <w:r w:rsidR="00054440"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265760" w:rsidRPr="00B53557" w:rsidRDefault="00265760" w:rsidP="00265760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265760" w:rsidRPr="00B960AE" w:rsidRDefault="00265760" w:rsidP="00265760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265760" w:rsidRPr="00D12BC3" w:rsidTr="00E25C52">
        <w:trPr>
          <w:tblHeader/>
        </w:trPr>
        <w:tc>
          <w:tcPr>
            <w:tcW w:w="2056" w:type="pct"/>
            <w:vAlign w:val="center"/>
          </w:tcPr>
          <w:p w:rsidR="00265760" w:rsidRPr="00D12BC3" w:rsidRDefault="00265760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265760" w:rsidRPr="00D12BC3" w:rsidRDefault="00265760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265760" w:rsidRPr="00D12BC3" w:rsidTr="00E25C52">
        <w:tc>
          <w:tcPr>
            <w:tcW w:w="2056" w:type="pct"/>
          </w:tcPr>
          <w:p w:rsidR="00265760" w:rsidRPr="00D12BC3" w:rsidRDefault="00265760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265760" w:rsidRPr="00D12BC3" w:rsidRDefault="00265760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265760" w:rsidRPr="00D12BC3" w:rsidTr="00E25C52">
        <w:tc>
          <w:tcPr>
            <w:tcW w:w="2056" w:type="pct"/>
          </w:tcPr>
          <w:p w:rsidR="00265760" w:rsidRPr="00D12BC3" w:rsidRDefault="00265760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265760" w:rsidRPr="00D12BC3" w:rsidRDefault="00265760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65760" w:rsidRPr="00D12BC3" w:rsidTr="00E25C52">
        <w:tc>
          <w:tcPr>
            <w:tcW w:w="2056" w:type="pct"/>
          </w:tcPr>
          <w:p w:rsidR="00265760" w:rsidRPr="00D12BC3" w:rsidRDefault="00265760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265760" w:rsidRPr="00D12BC3" w:rsidRDefault="00265760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265760" w:rsidRDefault="00265760" w:rsidP="00265760">
      <w:pPr>
        <w:ind w:firstLine="567"/>
      </w:pPr>
    </w:p>
    <w:p w:rsidR="0071632D" w:rsidRDefault="0071632D" w:rsidP="00D91385">
      <w:pPr>
        <w:pStyle w:val="Style3"/>
        <w:widowControl/>
        <w:ind w:firstLine="567"/>
        <w:jc w:val="both"/>
      </w:pPr>
    </w:p>
    <w:p w:rsidR="0071632D" w:rsidRPr="00244C8F" w:rsidRDefault="0071632D" w:rsidP="00D91385">
      <w:pPr>
        <w:pStyle w:val="Style3"/>
        <w:widowControl/>
        <w:ind w:firstLine="567"/>
        <w:jc w:val="both"/>
      </w:pPr>
    </w:p>
    <w:sectPr w:rsidR="0071632D" w:rsidRPr="00244C8F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FA" w:rsidRDefault="002523FA">
      <w:r>
        <w:separator/>
      </w:r>
    </w:p>
  </w:endnote>
  <w:endnote w:type="continuationSeparator" w:id="0">
    <w:p w:rsidR="002523FA" w:rsidRDefault="0025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5FF">
      <w:rPr>
        <w:rStyle w:val="a4"/>
        <w:noProof/>
      </w:rPr>
      <w:t>6</w: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FA" w:rsidRDefault="002523FA">
      <w:r>
        <w:separator/>
      </w:r>
    </w:p>
  </w:footnote>
  <w:footnote w:type="continuationSeparator" w:id="0">
    <w:p w:rsidR="002523FA" w:rsidRDefault="0025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FC8B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D12BD5"/>
    <w:multiLevelType w:val="hybridMultilevel"/>
    <w:tmpl w:val="491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62C3D"/>
    <w:multiLevelType w:val="hybridMultilevel"/>
    <w:tmpl w:val="6034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19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10"/>
  </w:num>
  <w:num w:numId="15">
    <w:abstractNumId w:val="12"/>
  </w:num>
  <w:num w:numId="16">
    <w:abstractNumId w:val="8"/>
  </w:num>
  <w:num w:numId="17">
    <w:abstractNumId w:val="16"/>
  </w:num>
  <w:num w:numId="18">
    <w:abstractNumId w:val="15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532FA"/>
    <w:rsid w:val="00054440"/>
    <w:rsid w:val="00054FE2"/>
    <w:rsid w:val="00055516"/>
    <w:rsid w:val="00063D00"/>
    <w:rsid w:val="0007753F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13E76"/>
    <w:rsid w:val="0012639D"/>
    <w:rsid w:val="0013405F"/>
    <w:rsid w:val="00152163"/>
    <w:rsid w:val="00173E53"/>
    <w:rsid w:val="0018548F"/>
    <w:rsid w:val="00196A06"/>
    <w:rsid w:val="001A182E"/>
    <w:rsid w:val="001A4E6B"/>
    <w:rsid w:val="001B3237"/>
    <w:rsid w:val="001B4B49"/>
    <w:rsid w:val="001C631B"/>
    <w:rsid w:val="001C7BBE"/>
    <w:rsid w:val="001D215A"/>
    <w:rsid w:val="001F0E72"/>
    <w:rsid w:val="00200AB4"/>
    <w:rsid w:val="0020170E"/>
    <w:rsid w:val="00203809"/>
    <w:rsid w:val="0021366B"/>
    <w:rsid w:val="00217581"/>
    <w:rsid w:val="00217A9E"/>
    <w:rsid w:val="00220733"/>
    <w:rsid w:val="00224D9E"/>
    <w:rsid w:val="00230418"/>
    <w:rsid w:val="0024270B"/>
    <w:rsid w:val="00243DE6"/>
    <w:rsid w:val="00244C8F"/>
    <w:rsid w:val="002523FA"/>
    <w:rsid w:val="002637CD"/>
    <w:rsid w:val="00265760"/>
    <w:rsid w:val="00277AD1"/>
    <w:rsid w:val="00284937"/>
    <w:rsid w:val="0029153B"/>
    <w:rsid w:val="002A010E"/>
    <w:rsid w:val="002A4FBA"/>
    <w:rsid w:val="002A5805"/>
    <w:rsid w:val="002B0CF6"/>
    <w:rsid w:val="002B3A09"/>
    <w:rsid w:val="002C0376"/>
    <w:rsid w:val="002F35FF"/>
    <w:rsid w:val="0032470F"/>
    <w:rsid w:val="00342188"/>
    <w:rsid w:val="00386A49"/>
    <w:rsid w:val="0039211A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57B01"/>
    <w:rsid w:val="004671D4"/>
    <w:rsid w:val="0048775E"/>
    <w:rsid w:val="0049106A"/>
    <w:rsid w:val="004A5911"/>
    <w:rsid w:val="004B48F2"/>
    <w:rsid w:val="004D5F1C"/>
    <w:rsid w:val="004E71DA"/>
    <w:rsid w:val="004F032A"/>
    <w:rsid w:val="004F482A"/>
    <w:rsid w:val="004F65FC"/>
    <w:rsid w:val="00551238"/>
    <w:rsid w:val="00556905"/>
    <w:rsid w:val="00567865"/>
    <w:rsid w:val="005678A2"/>
    <w:rsid w:val="0057672B"/>
    <w:rsid w:val="00584079"/>
    <w:rsid w:val="00593F97"/>
    <w:rsid w:val="005A7D25"/>
    <w:rsid w:val="005B733B"/>
    <w:rsid w:val="005E00BC"/>
    <w:rsid w:val="005E0FCA"/>
    <w:rsid w:val="005F3C26"/>
    <w:rsid w:val="00622551"/>
    <w:rsid w:val="00624F44"/>
    <w:rsid w:val="00625FC3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1632D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C2F1A"/>
    <w:rsid w:val="007E6B75"/>
    <w:rsid w:val="007F7A6A"/>
    <w:rsid w:val="00806CC2"/>
    <w:rsid w:val="0081474A"/>
    <w:rsid w:val="00815833"/>
    <w:rsid w:val="00822C0C"/>
    <w:rsid w:val="008241EB"/>
    <w:rsid w:val="00827CFA"/>
    <w:rsid w:val="00834280"/>
    <w:rsid w:val="008439AC"/>
    <w:rsid w:val="00857EBC"/>
    <w:rsid w:val="00862E4E"/>
    <w:rsid w:val="0086698D"/>
    <w:rsid w:val="0087519F"/>
    <w:rsid w:val="008A0972"/>
    <w:rsid w:val="008A20F0"/>
    <w:rsid w:val="008A4987"/>
    <w:rsid w:val="008D7D1F"/>
    <w:rsid w:val="008E2494"/>
    <w:rsid w:val="008E4976"/>
    <w:rsid w:val="008F2612"/>
    <w:rsid w:val="008F7C09"/>
    <w:rsid w:val="009125BE"/>
    <w:rsid w:val="009345C6"/>
    <w:rsid w:val="0093703C"/>
    <w:rsid w:val="00946C41"/>
    <w:rsid w:val="00974FA5"/>
    <w:rsid w:val="009879F8"/>
    <w:rsid w:val="0099253B"/>
    <w:rsid w:val="009B2C55"/>
    <w:rsid w:val="009C15E7"/>
    <w:rsid w:val="009C6C20"/>
    <w:rsid w:val="009C7046"/>
    <w:rsid w:val="009D767B"/>
    <w:rsid w:val="009F09AA"/>
    <w:rsid w:val="009F30D6"/>
    <w:rsid w:val="00A0118E"/>
    <w:rsid w:val="00A01651"/>
    <w:rsid w:val="00A15061"/>
    <w:rsid w:val="00A16B54"/>
    <w:rsid w:val="00A16C34"/>
    <w:rsid w:val="00A21351"/>
    <w:rsid w:val="00A21C93"/>
    <w:rsid w:val="00A3084F"/>
    <w:rsid w:val="00A34587"/>
    <w:rsid w:val="00A40900"/>
    <w:rsid w:val="00A475C8"/>
    <w:rsid w:val="00A5283F"/>
    <w:rsid w:val="00A56D71"/>
    <w:rsid w:val="00A5741F"/>
    <w:rsid w:val="00A804DC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3632"/>
    <w:rsid w:val="00B47713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5BB4"/>
    <w:rsid w:val="00C2348F"/>
    <w:rsid w:val="00C26E1A"/>
    <w:rsid w:val="00C34889"/>
    <w:rsid w:val="00C36598"/>
    <w:rsid w:val="00C41587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E450F"/>
    <w:rsid w:val="00CE7993"/>
    <w:rsid w:val="00D05B95"/>
    <w:rsid w:val="00D10D2F"/>
    <w:rsid w:val="00D40C06"/>
    <w:rsid w:val="00D52C64"/>
    <w:rsid w:val="00D656D8"/>
    <w:rsid w:val="00D67FAA"/>
    <w:rsid w:val="00D707CB"/>
    <w:rsid w:val="00D75CF7"/>
    <w:rsid w:val="00D91385"/>
    <w:rsid w:val="00DC056F"/>
    <w:rsid w:val="00DD2BFB"/>
    <w:rsid w:val="00DD3721"/>
    <w:rsid w:val="00DE367E"/>
    <w:rsid w:val="00E010A3"/>
    <w:rsid w:val="00E022FE"/>
    <w:rsid w:val="00E04601"/>
    <w:rsid w:val="00E41C72"/>
    <w:rsid w:val="00E51396"/>
    <w:rsid w:val="00E55F41"/>
    <w:rsid w:val="00E62A68"/>
    <w:rsid w:val="00E703C0"/>
    <w:rsid w:val="00E76892"/>
    <w:rsid w:val="00E95DD8"/>
    <w:rsid w:val="00E9746F"/>
    <w:rsid w:val="00EA0214"/>
    <w:rsid w:val="00EB1160"/>
    <w:rsid w:val="00EB55EB"/>
    <w:rsid w:val="00EC14A7"/>
    <w:rsid w:val="00F04621"/>
    <w:rsid w:val="00F0568D"/>
    <w:rsid w:val="00F3199B"/>
    <w:rsid w:val="00F34B47"/>
    <w:rsid w:val="00F40926"/>
    <w:rsid w:val="00F41523"/>
    <w:rsid w:val="00F46CF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693AB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0118E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18264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8</cp:revision>
  <cp:lastPrinted>2020-11-02T06:29:00Z</cp:lastPrinted>
  <dcterms:created xsi:type="dcterms:W3CDTF">2019-02-03T11:36:00Z</dcterms:created>
  <dcterms:modified xsi:type="dcterms:W3CDTF">2020-11-02T06:29:00Z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