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6C1035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 wp14:anchorId="77285120" wp14:editId="60BD27F7">
            <wp:extent cx="5940425" cy="8513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6C1035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1BE220F" wp14:editId="362D7802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3C337B" w:rsidRPr="003C337B" w:rsidRDefault="003C337B" w:rsidP="003C337B">
      <w:pPr>
        <w:widowControl/>
        <w:autoSpaceDE/>
        <w:autoSpaceDN/>
        <w:adjustRightInd/>
        <w:ind w:firstLine="0"/>
        <w:jc w:val="left"/>
      </w:pPr>
    </w:p>
    <w:p w:rsidR="006C1035" w:rsidRPr="006C1035" w:rsidRDefault="006C1035" w:rsidP="006C1035">
      <w:pPr>
        <w:widowControl/>
        <w:autoSpaceDE/>
        <w:autoSpaceDN/>
        <w:adjustRightInd/>
        <w:ind w:firstLine="0"/>
        <w:jc w:val="left"/>
      </w:pPr>
      <w:r w:rsidRPr="006C1035">
        <w:lastRenderedPageBreak/>
        <w:fldChar w:fldCharType="begin"/>
      </w:r>
      <w:r w:rsidRPr="006C1035">
        <w:instrText xml:space="preserve"> INCLUDEPICTURE "/var/folders/kt/q6pmlrvj6hz3r6jmh0h3lwrm0000gn/T/com.microsoft.Word/WebArchiveCopyPasteTempFiles/page1image25829296" \* MERGEFORMATINET </w:instrText>
      </w:r>
      <w:r w:rsidRPr="006C1035">
        <w:fldChar w:fldCharType="separate"/>
      </w:r>
      <w:r w:rsidRPr="006C1035">
        <w:rPr>
          <w:noProof/>
        </w:rPr>
        <w:drawing>
          <wp:inline distT="0" distB="0" distL="0" distR="0">
            <wp:extent cx="5760720" cy="8160385"/>
            <wp:effectExtent l="0" t="0" r="5080" b="5715"/>
            <wp:docPr id="4" name="Рисунок 4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35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лаборат.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2.1  Объект изучения грунтоведения.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2.3: Минеральный и гранулометрический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Физические, водные, механические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заняти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2.1  Объект изучения грунтоведения. Цель, задачи.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неотектонические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предприятий.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дисциплине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lastRenderedPageBreak/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C1035" w:rsidRPr="00276640" w:rsidTr="00D122CD">
        <w:trPr>
          <w:trHeight w:val="281"/>
        </w:trPr>
        <w:tc>
          <w:tcPr>
            <w:tcW w:w="3221" w:type="dxa"/>
          </w:tcPr>
          <w:p w:rsidR="006C1035" w:rsidRPr="00276640" w:rsidRDefault="006C1035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6C1035" w:rsidRPr="00276640" w:rsidRDefault="006C1035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6C1035" w:rsidRPr="00276640" w:rsidTr="00D122CD">
        <w:trPr>
          <w:trHeight w:val="285"/>
        </w:trPr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11.10.2021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27.07.2018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6C1035" w:rsidRPr="00276640" w:rsidTr="00D122CD">
        <w:trPr>
          <w:trHeight w:val="272"/>
        </w:trPr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6C1035" w:rsidRPr="00276640" w:rsidRDefault="006C1035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6C1035" w:rsidRPr="00276640" w:rsidTr="00D122CD">
        <w:trPr>
          <w:trHeight w:val="297"/>
        </w:trPr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28.01.2020</w:t>
            </w:r>
          </w:p>
          <w:p w:rsidR="006C1035" w:rsidRPr="00276640" w:rsidRDefault="006C1035" w:rsidP="00D122CD">
            <w:pPr>
              <w:widowControl/>
              <w:ind w:firstLine="0"/>
            </w:pPr>
            <w:r w:rsidRPr="00276640">
              <w:t>21.03.2018</w:t>
            </w:r>
          </w:p>
          <w:p w:rsidR="006C1035" w:rsidRPr="00276640" w:rsidRDefault="006C1035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6C1035" w:rsidRPr="00276640" w:rsidRDefault="006C10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6C1035" w:rsidRPr="00276640" w:rsidTr="00D122CD">
        <w:trPr>
          <w:trHeight w:val="297"/>
        </w:trPr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6C1035" w:rsidRPr="00276640" w:rsidRDefault="006C1035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6618" w:rsidRDefault="006E6618">
      <w:r>
        <w:separator/>
      </w:r>
    </w:p>
  </w:endnote>
  <w:endnote w:type="continuationSeparator" w:id="0">
    <w:p w:rsidR="006E6618" w:rsidRDefault="006E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6618" w:rsidRDefault="006E6618">
      <w:r>
        <w:separator/>
      </w:r>
    </w:p>
  </w:footnote>
  <w:footnote w:type="continuationSeparator" w:id="0">
    <w:p w:rsidR="006E6618" w:rsidRDefault="006E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C2798"/>
    <w:rsid w:val="003C337B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962C8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035"/>
    <w:rsid w:val="006C1369"/>
    <w:rsid w:val="006C3A50"/>
    <w:rsid w:val="006D047C"/>
    <w:rsid w:val="006D33BA"/>
    <w:rsid w:val="006D4091"/>
    <w:rsid w:val="006E6618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10FB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DB5D4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66</Pages>
  <Words>17552</Words>
  <Characters>100047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117365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8</cp:revision>
  <cp:lastPrinted>2015-02-06T09:12:00Z</cp:lastPrinted>
  <dcterms:created xsi:type="dcterms:W3CDTF">2020-11-02T06:45:00Z</dcterms:created>
  <dcterms:modified xsi:type="dcterms:W3CDTF">2020-11-02T12:28:00Z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