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B" w:rsidRDefault="0059539B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Users\d.simakov\Documents\!РПД 2018\РПД\сканы Симаков Д.Б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cuments\!РПД 2018\РПД\сканы Симаков Д.Б\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9B" w:rsidRDefault="0059539B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Users\d.simakov\Documents\!РПД 2018\РПД\сканы Симаков Д.Б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simakov\Documents\!РПД 2018\РПД\сканы Симаков Д.Б\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E4" w:rsidRDefault="004B39E4" w:rsidP="004B39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3" name="Рисунок 1" descr="C:\Users\d.simakov\Documents\18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simakov\Documents\18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lastRenderedPageBreak/>
        <w:t>1 Цели освоения дисциплины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Целями освоения дисциплины «Менеджмент» являются: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D1CC6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Дисциплина «Менеджмент» входит в вариативную часть блока 1 образовательной программы.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Для освоения курса «</w:t>
      </w:r>
      <w:r w:rsidRPr="007D1CC6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D1CC6">
        <w:rPr>
          <w:rFonts w:ascii="Times New Roman" w:hAnsi="Times New Roman" w:cs="Times New Roman"/>
          <w:sz w:val="24"/>
          <w:szCs w:val="24"/>
        </w:rPr>
        <w:t>» необходимы знания, сформированные в ходе изучения следующих дисциплин: «Экономическая теория».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Знания, полученные при изучении данной дисциплины, необходимы для освоения дисциплин «Основы теории управления», «Управленческие решения»</w:t>
      </w:r>
    </w:p>
    <w:p w:rsidR="006F2858" w:rsidRDefault="006F28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D1CC6" w:rsidRPr="007D1CC6" w:rsidTr="00C15C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D1CC6" w:rsidRPr="007D1CC6" w:rsidTr="00C15C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7D1CC6" w:rsidRPr="007D1CC6" w:rsidTr="00C15C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7D1CC6" w:rsidRPr="007D1CC6" w:rsidTr="00C15C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последствий и несения ответственности;</w:t>
            </w:r>
          </w:p>
        </w:tc>
      </w:tr>
      <w:tr w:rsidR="007D1CC6" w:rsidRPr="007D1CC6" w:rsidTr="007D1CC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владением навыками планирования и организации деятельности органов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683F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и организации деятельности органов государственной власти </w:t>
            </w:r>
            <w:r w:rsidRPr="00B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организационных структур органов государственной власти  </w:t>
            </w:r>
            <w:r w:rsid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FC3F06" w:rsidP="00763F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EEA" w:rsidSect="006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144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часов, в том числе: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="008F5B9D">
        <w:rPr>
          <w:rFonts w:ascii="Times New Roman" w:hAnsi="Times New Roman" w:cs="Times New Roman"/>
          <w:bCs/>
          <w:sz w:val="24"/>
          <w:szCs w:val="24"/>
          <w:u w:val="single"/>
        </w:rPr>
        <w:t>69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8F5B9D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 акад. часов: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68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/10</w:t>
      </w:r>
      <w:r w:rsidRPr="00231EEA">
        <w:rPr>
          <w:rFonts w:ascii="Times New Roman" w:hAnsi="Times New Roman" w:cs="Times New Roman"/>
          <w:bCs/>
          <w:sz w:val="24"/>
          <w:szCs w:val="24"/>
        </w:rPr>
        <w:t>___ акад. часов;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1,8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акад. часов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74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EC623D" w:rsidRPr="00EC623D" w:rsidTr="007649E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13"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EC62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623D" w:rsidRPr="00EC623D" w:rsidTr="007649E2">
        <w:trPr>
          <w:cantSplit/>
          <w:trHeight w:val="1134"/>
          <w:tblHeader/>
        </w:trPr>
        <w:tc>
          <w:tcPr>
            <w:tcW w:w="1424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лаборат</w:t>
            </w:r>
            <w:proofErr w:type="spellEnd"/>
            <w:r w:rsidRPr="00EC623D">
              <w:t>.</w:t>
            </w:r>
          </w:p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практич</w:t>
            </w:r>
            <w:proofErr w:type="spellEnd"/>
            <w:r w:rsidRPr="00EC623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</w:tr>
      <w:tr w:rsidR="00EC623D" w:rsidRPr="00EC623D" w:rsidTr="007649E2">
        <w:trPr>
          <w:trHeight w:val="268"/>
        </w:trPr>
        <w:tc>
          <w:tcPr>
            <w:tcW w:w="1424" w:type="pct"/>
          </w:tcPr>
          <w:p w:rsidR="00EC623D" w:rsidRPr="00EC623D" w:rsidRDefault="00FA1EED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</w:rPr>
              <w:t>Органы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государственной власти 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местного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самоуправления, государственные и муниципальные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предприятий и уч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реждения, политических партии, общественно-политические, коммерческие и некоммерческие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как объект управления</w:t>
            </w:r>
          </w:p>
        </w:tc>
        <w:tc>
          <w:tcPr>
            <w:tcW w:w="186" w:type="pct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C623D" w:rsidRPr="00EC623D" w:rsidRDefault="00EC623D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EC623D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121A26" w:rsidRPr="00EC623D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0F1EAC" w:rsidRPr="00EC623D" w:rsidTr="007649E2">
        <w:trPr>
          <w:trHeight w:val="268"/>
        </w:trPr>
        <w:tc>
          <w:tcPr>
            <w:tcW w:w="1424" w:type="pct"/>
          </w:tcPr>
          <w:p w:rsidR="000F1EAC" w:rsidRPr="000F1EAC" w:rsidRDefault="000F1EAC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управления</w:t>
            </w:r>
          </w:p>
        </w:tc>
        <w:tc>
          <w:tcPr>
            <w:tcW w:w="186" w:type="pct"/>
          </w:tcPr>
          <w:p w:rsidR="000F1EAC" w:rsidRDefault="00FC5C0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223" w:type="pct"/>
          </w:tcPr>
          <w:p w:rsidR="000F1EAC" w:rsidRPr="00142AF4" w:rsidRDefault="000F1EA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332" w:type="pct"/>
          </w:tcPr>
          <w:p w:rsidR="000F1EAC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0F1EAC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0F1EAC" w:rsidRPr="00142AF4" w:rsidRDefault="00121A26" w:rsidP="00763FAD">
            <w:pPr>
              <w:pStyle w:val="Style14"/>
              <w:ind w:firstLine="0"/>
            </w:pPr>
            <w:r>
              <w:t>Устный опрос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0F1EA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0F1EAC" w:rsidRPr="00EC623D" w:rsidTr="007649E2">
        <w:trPr>
          <w:trHeight w:val="268"/>
        </w:trPr>
        <w:tc>
          <w:tcPr>
            <w:tcW w:w="1424" w:type="pct"/>
          </w:tcPr>
          <w:p w:rsidR="000F1EAC" w:rsidRDefault="000F1EAC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организации</w:t>
            </w:r>
          </w:p>
        </w:tc>
        <w:tc>
          <w:tcPr>
            <w:tcW w:w="186" w:type="pct"/>
          </w:tcPr>
          <w:p w:rsidR="000F1EAC" w:rsidRDefault="00FC5C0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4</w:t>
            </w:r>
          </w:p>
        </w:tc>
        <w:tc>
          <w:tcPr>
            <w:tcW w:w="223" w:type="pct"/>
          </w:tcPr>
          <w:p w:rsidR="000F1EAC" w:rsidRPr="00142AF4" w:rsidRDefault="000F1EA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4</w:t>
            </w:r>
          </w:p>
        </w:tc>
        <w:tc>
          <w:tcPr>
            <w:tcW w:w="332" w:type="pct"/>
          </w:tcPr>
          <w:p w:rsidR="000F1EAC" w:rsidRPr="00142AF4" w:rsidRDefault="00A7109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0F1EAC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практическому занятию</w:t>
            </w:r>
          </w:p>
        </w:tc>
        <w:tc>
          <w:tcPr>
            <w:tcW w:w="974" w:type="pct"/>
          </w:tcPr>
          <w:p w:rsidR="000F1EAC" w:rsidRPr="00142AF4" w:rsidRDefault="00121A26" w:rsidP="00763FAD">
            <w:pPr>
              <w:pStyle w:val="Style14"/>
              <w:ind w:firstLine="0"/>
            </w:pPr>
            <w:r w:rsidRPr="00121A26">
              <w:lastRenderedPageBreak/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0F1EA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5C04" w:rsidRPr="00EC623D" w:rsidTr="007649E2">
        <w:trPr>
          <w:trHeight w:val="268"/>
        </w:trPr>
        <w:tc>
          <w:tcPr>
            <w:tcW w:w="1424" w:type="pct"/>
          </w:tcPr>
          <w:p w:rsidR="00FC5C04" w:rsidRPr="00FC5C04" w:rsidRDefault="00FC5C04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C5C04" w:rsidRDefault="00FC5C04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5C04" w:rsidRPr="00142AF4" w:rsidRDefault="00142AF4" w:rsidP="00763FAD">
            <w:pPr>
              <w:pStyle w:val="Style14"/>
              <w:ind w:firstLine="0"/>
            </w:pPr>
            <w:r w:rsidRPr="00142AF4">
              <w:t>6</w:t>
            </w:r>
          </w:p>
        </w:tc>
        <w:tc>
          <w:tcPr>
            <w:tcW w:w="223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5C04" w:rsidRPr="00142AF4" w:rsidRDefault="00142AF4" w:rsidP="00763FAD">
            <w:pPr>
              <w:pStyle w:val="Style14"/>
              <w:ind w:firstLine="0"/>
            </w:pPr>
            <w:r w:rsidRPr="00142AF4">
              <w:t>6</w:t>
            </w:r>
          </w:p>
        </w:tc>
        <w:tc>
          <w:tcPr>
            <w:tcW w:w="332" w:type="pct"/>
          </w:tcPr>
          <w:p w:rsidR="00FC5C04" w:rsidRPr="00142AF4" w:rsidRDefault="00A71096" w:rsidP="00763FAD">
            <w:pPr>
              <w:pStyle w:val="Style14"/>
              <w:ind w:firstLine="0"/>
            </w:pPr>
            <w:r>
              <w:t>14</w:t>
            </w:r>
          </w:p>
        </w:tc>
        <w:tc>
          <w:tcPr>
            <w:tcW w:w="1075" w:type="pct"/>
          </w:tcPr>
          <w:p w:rsidR="00FC5C04" w:rsidRPr="00142AF4" w:rsidRDefault="00FC5C04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7649E2" w:rsidRDefault="007649E2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C3F06" w:rsidRPr="007649E2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управленческой мысли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C3F06" w:rsidRPr="00EC623D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FC3F06" w:rsidRPr="00EC623D" w:rsidRDefault="00FC3F06" w:rsidP="00763FAD">
            <w:pPr>
              <w:pStyle w:val="Style14"/>
              <w:ind w:firstLine="0"/>
            </w:pPr>
          </w:p>
        </w:tc>
      </w:tr>
      <w:tr w:rsidR="00FC5C04" w:rsidRPr="00EC623D" w:rsidTr="007649E2">
        <w:trPr>
          <w:trHeight w:val="268"/>
        </w:trPr>
        <w:tc>
          <w:tcPr>
            <w:tcW w:w="1424" w:type="pct"/>
          </w:tcPr>
          <w:p w:rsidR="00FC5C04" w:rsidRDefault="00FC5C04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B23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7EC" w:rsidRPr="00B237EC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  <w:r w:rsidR="00B237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мысли</w:t>
            </w:r>
          </w:p>
        </w:tc>
        <w:tc>
          <w:tcPr>
            <w:tcW w:w="186" w:type="pct"/>
          </w:tcPr>
          <w:p w:rsidR="00FC5C04" w:rsidRDefault="00B237EC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5C04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5C04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5C04" w:rsidRPr="00142AF4" w:rsidRDefault="00A7109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FC5C04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5C04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5C04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B237EC" w:rsidRPr="00EC623D" w:rsidTr="007649E2">
        <w:trPr>
          <w:trHeight w:val="268"/>
        </w:trPr>
        <w:tc>
          <w:tcPr>
            <w:tcW w:w="1424" w:type="pct"/>
          </w:tcPr>
          <w:p w:rsid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З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 управления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>для современного менеджмента</w:t>
            </w:r>
          </w:p>
        </w:tc>
        <w:tc>
          <w:tcPr>
            <w:tcW w:w="186" w:type="pct"/>
          </w:tcPr>
          <w:p w:rsidR="00B237EC" w:rsidRDefault="00B237EC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B237E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223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B237E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332" w:type="pct"/>
          </w:tcPr>
          <w:p w:rsidR="00B237EC" w:rsidRPr="00142AF4" w:rsidRDefault="00A71096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1075" w:type="pct"/>
          </w:tcPr>
          <w:p w:rsidR="00B237EC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B237EC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B237E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B237EC" w:rsidRPr="00EC623D" w:rsidTr="007649E2">
        <w:trPr>
          <w:trHeight w:val="268"/>
        </w:trPr>
        <w:tc>
          <w:tcPr>
            <w:tcW w:w="1424" w:type="pct"/>
          </w:tcPr>
          <w:p w:rsid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B237EC" w:rsidRDefault="00B237EC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B237EC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223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B237EC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B237EC" w:rsidRPr="00142AF4" w:rsidRDefault="00A71096" w:rsidP="00763FAD">
            <w:pPr>
              <w:pStyle w:val="Style14"/>
              <w:ind w:firstLine="0"/>
            </w:pPr>
            <w:r>
              <w:t>16</w:t>
            </w:r>
          </w:p>
        </w:tc>
        <w:tc>
          <w:tcPr>
            <w:tcW w:w="1075" w:type="pct"/>
          </w:tcPr>
          <w:p w:rsidR="00B237EC" w:rsidRPr="00142AF4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7649E2" w:rsidRDefault="007649E2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5C04">
              <w:rPr>
                <w:rFonts w:ascii="Times New Roman" w:hAnsi="Times New Roman" w:cs="Times New Roman"/>
                <w:sz w:val="24"/>
                <w:szCs w:val="24"/>
              </w:rPr>
              <w:t>Основные управленческие функции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FC3F06" w:rsidRPr="00142AF4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0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0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20</w:t>
            </w:r>
          </w:p>
        </w:tc>
        <w:tc>
          <w:tcPr>
            <w:tcW w:w="1075" w:type="pct"/>
          </w:tcPr>
          <w:p w:rsidR="00FC3F0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B237EC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связи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FC3F0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FC3F06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4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30</w:t>
            </w:r>
          </w:p>
        </w:tc>
        <w:tc>
          <w:tcPr>
            <w:tcW w:w="1075" w:type="pct"/>
          </w:tcPr>
          <w:p w:rsidR="00FC3F06" w:rsidRPr="00142AF4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динамика 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FC3F06" w:rsidRPr="00142AF4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C33DC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DC0">
              <w:rPr>
                <w:rFonts w:ascii="Times New Roman" w:hAnsi="Times New Roman" w:cs="Times New Roman"/>
                <w:sz w:val="24"/>
                <w:szCs w:val="24"/>
              </w:rPr>
              <w:t>Формальные и неформальные организации.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8</w:t>
            </w:r>
          </w:p>
        </w:tc>
        <w:tc>
          <w:tcPr>
            <w:tcW w:w="1075" w:type="pct"/>
          </w:tcPr>
          <w:p w:rsidR="00FC3F0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Default="00FC3F06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DC0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6</w:t>
            </w:r>
            <w:r w:rsidR="00121A26">
              <w:t>,2</w:t>
            </w:r>
          </w:p>
        </w:tc>
        <w:tc>
          <w:tcPr>
            <w:tcW w:w="1075" w:type="pct"/>
          </w:tcPr>
          <w:p w:rsidR="00FC3F0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FC3F06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14</w:t>
            </w:r>
            <w:r w:rsidR="00121A26">
              <w:t>,2</w:t>
            </w:r>
          </w:p>
        </w:tc>
        <w:tc>
          <w:tcPr>
            <w:tcW w:w="1075" w:type="pct"/>
          </w:tcPr>
          <w:p w:rsidR="00FC3F06" w:rsidRPr="00142AF4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121A26" w:rsidRPr="00EC623D" w:rsidTr="007649E2">
        <w:trPr>
          <w:trHeight w:val="268"/>
        </w:trPr>
        <w:tc>
          <w:tcPr>
            <w:tcW w:w="1424" w:type="pct"/>
          </w:tcPr>
          <w:p w:rsidR="00121A26" w:rsidRPr="00FA1EED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86" w:type="pct"/>
          </w:tcPr>
          <w:p w:rsidR="00121A26" w:rsidRPr="00FA1EED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223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33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5" w:type="pct"/>
          </w:tcPr>
          <w:p w:rsidR="00121A2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21A26" w:rsidRPr="009F76AC" w:rsidRDefault="00121A26" w:rsidP="00763FAD">
            <w:pPr>
              <w:pStyle w:val="Style14"/>
              <w:ind w:firstLine="0"/>
              <w:rPr>
                <w:rStyle w:val="FontStyle31"/>
                <w:b/>
              </w:rPr>
            </w:pPr>
            <w:r w:rsidRPr="009F76AC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: </w:t>
            </w:r>
            <w:r w:rsidRPr="009F76AC">
              <w:rPr>
                <w:b/>
              </w:rPr>
              <w:t xml:space="preserve"> зачет</w:t>
            </w:r>
          </w:p>
        </w:tc>
        <w:tc>
          <w:tcPr>
            <w:tcW w:w="370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</w:tr>
      <w:tr w:rsidR="00121A26" w:rsidRPr="00EC623D" w:rsidTr="007649E2">
        <w:trPr>
          <w:trHeight w:val="268"/>
        </w:trPr>
        <w:tc>
          <w:tcPr>
            <w:tcW w:w="1424" w:type="pct"/>
          </w:tcPr>
          <w:p w:rsidR="00121A26" w:rsidRPr="00FA1EED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121A26" w:rsidRPr="00FA1EED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223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33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5" w:type="pct"/>
          </w:tcPr>
          <w:p w:rsidR="00121A2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21A26" w:rsidRPr="00C17915" w:rsidRDefault="00121A26" w:rsidP="00763FAD">
            <w:pPr>
              <w:pStyle w:val="Style14"/>
              <w:ind w:firstLine="0"/>
              <w:rPr>
                <w:b/>
                <w:color w:val="C00000"/>
              </w:rPr>
            </w:pPr>
            <w:r>
              <w:rPr>
                <w:b/>
              </w:rPr>
              <w:t xml:space="preserve">Итоговая аттестация: </w:t>
            </w:r>
            <w:r w:rsidRPr="009F76AC">
              <w:rPr>
                <w:b/>
              </w:rPr>
              <w:t>зачет</w:t>
            </w:r>
          </w:p>
        </w:tc>
        <w:tc>
          <w:tcPr>
            <w:tcW w:w="370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</w:tr>
    </w:tbl>
    <w:p w:rsidR="00EC623D" w:rsidRDefault="00EC623D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1A26" w:rsidSect="00231E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B31494" w:rsidRPr="00763FAD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</w:t>
      </w:r>
      <w:r w:rsidRPr="00763F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B31494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121A26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3149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 xml:space="preserve">енеджмент» предусмотрена аудиторная и внеаудиторная самостоятельная работа обучающихся.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контрольных за</w:t>
      </w:r>
      <w:r>
        <w:rPr>
          <w:rFonts w:ascii="Times New Roman" w:hAnsi="Times New Roman" w:cs="Times New Roman"/>
          <w:sz w:val="24"/>
          <w:szCs w:val="24"/>
        </w:rPr>
        <w:t>даний</w:t>
      </w:r>
      <w:r w:rsidRPr="00B31494">
        <w:rPr>
          <w:rFonts w:ascii="Times New Roman" w:hAnsi="Times New Roman" w:cs="Times New Roman"/>
          <w:sz w:val="24"/>
          <w:szCs w:val="24"/>
        </w:rPr>
        <w:t xml:space="preserve"> на практических занятиях.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органа управления</w:t>
      </w:r>
      <w:r w:rsidRPr="00B31494">
        <w:rPr>
          <w:rFonts w:ascii="Times New Roman" w:hAnsi="Times New Roman" w:cs="Times New Roman"/>
          <w:sz w:val="24"/>
          <w:szCs w:val="24"/>
        </w:rPr>
        <w:t>. На деятельность любой организации обязательно будут влиять следующие факторы: социальные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494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31494">
        <w:rPr>
          <w:rFonts w:ascii="Times New Roman" w:hAnsi="Times New Roman" w:cs="Times New Roman"/>
          <w:sz w:val="24"/>
          <w:szCs w:val="24"/>
        </w:rPr>
        <w:t>-матрицы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АКР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EF659C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>: сила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B31494">
        <w:rPr>
          <w:rFonts w:ascii="Times New Roman" w:hAnsi="Times New Roman" w:cs="Times New Roman"/>
          <w:sz w:val="24"/>
          <w:szCs w:val="24"/>
        </w:rPr>
        <w:t>), слабость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B31494">
        <w:rPr>
          <w:rFonts w:ascii="Times New Roman" w:hAnsi="Times New Roman" w:cs="Times New Roman"/>
          <w:sz w:val="24"/>
          <w:szCs w:val="24"/>
        </w:rPr>
        <w:t>), возможности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B31494">
        <w:rPr>
          <w:rFonts w:ascii="Times New Roman" w:hAnsi="Times New Roman" w:cs="Times New Roman"/>
          <w:sz w:val="24"/>
          <w:szCs w:val="24"/>
        </w:rPr>
        <w:t>), и угрозы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B31494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EF659C" w:rsidRP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EF659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659C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АКР №3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Организационное построение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>Разработать организационную структуру объекта исследования</w:t>
      </w:r>
      <w:r w:rsidR="0027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АКР №4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анализ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«Вход-выход»</w:t>
      </w:r>
      <w:r w:rsidRPr="00922225">
        <w:rPr>
          <w:rFonts w:ascii="Times New Roman" w:hAnsi="Times New Roman" w:cs="Times New Roman"/>
          <w:sz w:val="24"/>
          <w:szCs w:val="24"/>
        </w:rPr>
        <w:t xml:space="preserve"> для объекта исследования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2225" w:rsidSect="00121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225" w:rsidRPr="00922225" w:rsidRDefault="00922225" w:rsidP="00763FA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2225" w:rsidRPr="00922225" w:rsidTr="00C15C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2225" w:rsidRPr="00922225" w:rsidTr="00C15C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922225" w:rsidRPr="00922225" w:rsidTr="00AD4AF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922225" w:rsidRPr="00922225" w:rsidRDefault="00EB14D5" w:rsidP="00226F35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2C76" w:rsidRDefault="008B2C76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5B8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планирование;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AD4AFA" w:rsidRPr="00AD4AFA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числу целей;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DE6E42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922225" w:rsidRPr="00D10D50" w:rsidRDefault="00AD4AFA" w:rsidP="00DE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10D50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922225" w:rsidRDefault="00D10D50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1EF3" w:rsidRDefault="007C1EF3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1. В группах по три человека рассмотрите последовательно каждый этап процесса принятия управленческого решения. 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какие факторы внутренней и внешней среды будут влиять на каждый из этапов? Результаты своей работы вынесите на дискуссию на практическом занятии.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Проведите обсуждение на тему: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этапов состоит стадия подготовки к разработке управленческого решения?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управленческой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D10D50" w:rsidRPr="00922225" w:rsidRDefault="002515B8" w:rsidP="007C1EF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AFA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Default="00AD4AFA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AD4AFA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515B8" w:rsidRDefault="00226F35" w:rsidP="002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В группах по три-четыре человека рассмотрите процесс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AD4AFA" w:rsidRPr="002515B8" w:rsidRDefault="00226F35" w:rsidP="00226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обсудите на практическом занятии</w:t>
            </w:r>
          </w:p>
        </w:tc>
      </w:tr>
      <w:tr w:rsidR="00AD4AFA" w:rsidRPr="00922225" w:rsidTr="00AD4AF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Pr="007C1EF3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226F35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Default="00C15CBA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стратегическое планирование;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функциональные;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 w:rsidR="0027696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предварительный;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применяться тензорная структура управления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7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организационной структуры: </w:t>
            </w:r>
          </w:p>
          <w:p w:rsidR="00226F35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органов местного самоуправления;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предприятий и учреждений;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политических партий, общественно-политических организаций;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- навыками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27696C" w:rsidRPr="00EF659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6C" w:rsidRPr="0027696C" w:rsidRDefault="0027696C" w:rsidP="002769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226F35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58" w:rsidRDefault="0004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958" w:rsidRDefault="000439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3958" w:rsidSect="00922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4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043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95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зачтено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EF659C" w:rsidRPr="00922225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» –</w:t>
      </w:r>
      <w:r w:rsidRPr="000439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End"/>
      <w:r w:rsidRPr="00043958">
        <w:rPr>
          <w:rFonts w:ascii="Times New Roman" w:eastAsia="Calibri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267" w:rsidRP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26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A3267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5A3267" w:rsidRPr="005A3267" w:rsidRDefault="005A3267" w:rsidP="005A32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5A326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267" w:rsidRPr="00C51D11" w:rsidRDefault="005A3267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>, А.И. Наумов. - 6-</w:t>
      </w:r>
      <w:r w:rsidRPr="00C51D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1D11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C51D11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C51D1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51D11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C51D11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C51D1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51D11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5A3267" w:rsidRP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267" w:rsidRDefault="005A3267" w:rsidP="00C51D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11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C51D11" w:rsidRPr="00C51D11" w:rsidRDefault="00C51D11" w:rsidP="00C51D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51D11">
        <w:rPr>
          <w:rFonts w:ascii="Times New Roman" w:hAnsi="Times New Roman" w:cs="Times New Roman"/>
          <w:sz w:val="24"/>
          <w:szCs w:val="24"/>
        </w:rPr>
        <w:t xml:space="preserve">Симаков Д. Б. </w:t>
      </w:r>
      <w:r w:rsidR="004B39E4">
        <w:rPr>
          <w:rFonts w:ascii="Times New Roman" w:hAnsi="Times New Roman" w:cs="Times New Roman"/>
          <w:sz w:val="24"/>
          <w:szCs w:val="24"/>
        </w:rPr>
        <w:t>Менеджмент [Электронный ресурс]</w:t>
      </w:r>
      <w:r w:rsidRPr="00C51D11">
        <w:rPr>
          <w:rFonts w:ascii="Times New Roman" w:hAnsi="Times New Roman" w:cs="Times New Roman"/>
          <w:sz w:val="24"/>
          <w:szCs w:val="24"/>
        </w:rPr>
        <w:t>: учебное пособие / Д. Б. Симаков, Ю. Г. Терентьева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МГТУ. - Магнитогорск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D1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1D11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C51D11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C51D11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C51D11" w:rsidRPr="00C51D11" w:rsidRDefault="00C51D11" w:rsidP="00C51D1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C51D11">
        <w:rPr>
          <w:rFonts w:ascii="Times New Roman" w:hAnsi="Times New Roman" w:cs="Times New Roman"/>
          <w:sz w:val="24"/>
          <w:szCs w:val="24"/>
        </w:rPr>
        <w:t>доступа</w:t>
      </w:r>
      <w:r w:rsidRPr="00C51D11">
        <w:rPr>
          <w:rFonts w:ascii="Times New Roman" w:hAnsi="Times New Roman" w:cs="Times New Roman"/>
          <w:bCs/>
          <w:sz w:val="24"/>
          <w:szCs w:val="24"/>
        </w:rPr>
        <w:t>: http://znanium.com/bookread2.php?book=872924 – Заглавие с экрана  ISBN 978-5-238-01095-3 </w:t>
      </w:r>
    </w:p>
    <w:p w:rsidR="00C51D11" w:rsidRPr="00C51D11" w:rsidRDefault="00C51D11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11">
        <w:rPr>
          <w:rFonts w:ascii="Times New Roman" w:hAnsi="Times New Roman" w:cs="Times New Roman"/>
          <w:bCs/>
          <w:sz w:val="24"/>
          <w:szCs w:val="24"/>
        </w:rPr>
        <w:t xml:space="preserve">Симаков Д.Б. Менеджмент [Текст]: учебное пособие / Д.Б. Симаков, З.В. Якобсон, Ю.Г. </w:t>
      </w:r>
      <w:r w:rsidRPr="00C51D11">
        <w:rPr>
          <w:rFonts w:ascii="Times New Roman" w:hAnsi="Times New Roman" w:cs="Times New Roman"/>
          <w:sz w:val="24"/>
          <w:szCs w:val="24"/>
        </w:rPr>
        <w:t>Терентьева</w:t>
      </w:r>
      <w:r w:rsidRPr="00C51D11">
        <w:rPr>
          <w:rFonts w:ascii="Times New Roman" w:hAnsi="Times New Roman" w:cs="Times New Roman"/>
          <w:bCs/>
          <w:sz w:val="24"/>
          <w:szCs w:val="24"/>
        </w:rPr>
        <w:t>; МГТУ [каф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енеджмента]. Магнитогорск: Изд-во Магнитогорск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ос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техн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ун-та. Г.И. Носова,  2011.- 220 </w:t>
      </w:r>
      <w:proofErr w:type="gramStart"/>
      <w:r w:rsidRPr="00C51D11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C51D11">
        <w:rPr>
          <w:rFonts w:ascii="Times New Roman" w:hAnsi="Times New Roman" w:cs="Times New Roman"/>
          <w:bCs/>
          <w:sz w:val="24"/>
          <w:szCs w:val="24"/>
        </w:rPr>
        <w:t>.</w:t>
      </w:r>
    </w:p>
    <w:p w:rsidR="00C51D11" w:rsidRDefault="00C51D11" w:rsidP="00C51D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D11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0" w:history="1">
        <w:r w:rsidRPr="00C51D11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C51D11">
          <w:t>bookread</w:t>
        </w:r>
        <w:r w:rsidRPr="00C51D11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C51D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1D11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C51D11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C51D11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C51D11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C51D11" w:rsidRPr="00C51D11" w:rsidRDefault="00C51D11" w:rsidP="00C51D11">
      <w:pPr>
        <w:spacing w:after="0" w:line="24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1D11" w:rsidRPr="00C51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представлены в Приложении 1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 Программное обеспечение и Интернет-ресурсы: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4B39E4" w:rsidRPr="004B39E4" w:rsidTr="002D2A15"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4B39E4" w:rsidRPr="004B39E4" w:rsidTr="002D2A15"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191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4B39E4" w:rsidRPr="004B39E4" w:rsidTr="002D2A15"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4B39E4" w:rsidRPr="004B39E4" w:rsidTr="002D2A15"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Endpoind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Д-300-18 от 21.03.2018</w:t>
            </w:r>
          </w:p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Д-1347-17 от 20.12.2017</w:t>
            </w:r>
          </w:p>
        </w:tc>
        <w:tc>
          <w:tcPr>
            <w:tcW w:w="3191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28.01.2020</w:t>
            </w:r>
          </w:p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21.03.2018</w:t>
            </w:r>
            <w:bookmarkStart w:id="0" w:name="_GoBack"/>
            <w:bookmarkEnd w:id="0"/>
          </w:p>
        </w:tc>
      </w:tr>
      <w:tr w:rsidR="004B39E4" w:rsidRPr="004B39E4" w:rsidTr="002D2A15"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Zip </w:t>
            </w:r>
          </w:p>
        </w:tc>
        <w:tc>
          <w:tcPr>
            <w:tcW w:w="3190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2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B39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4B39E4" w:rsidRPr="004B39E4" w:rsidRDefault="004B39E4" w:rsidP="004B39E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4B39E4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4B39E4" w:rsidRPr="004B39E4" w:rsidTr="002D2A15">
        <w:trPr>
          <w:tblHeader/>
        </w:trPr>
        <w:tc>
          <w:tcPr>
            <w:tcW w:w="1928" w:type="pct"/>
            <w:vAlign w:val="center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4B39E4" w:rsidRPr="004B39E4" w:rsidTr="002D2A15">
        <w:tc>
          <w:tcPr>
            <w:tcW w:w="1928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4B39E4" w:rsidRPr="004B39E4" w:rsidTr="002D2A15">
        <w:tc>
          <w:tcPr>
            <w:tcW w:w="1928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B39E4" w:rsidRPr="004B39E4" w:rsidTr="002D2A15">
        <w:tc>
          <w:tcPr>
            <w:tcW w:w="1928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B39E4" w:rsidRPr="004B39E4" w:rsidTr="002D2A15">
        <w:tc>
          <w:tcPr>
            <w:tcW w:w="1928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B39E4" w:rsidRPr="004B39E4" w:rsidRDefault="004B39E4" w:rsidP="004B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B39E4" w:rsidRPr="004B39E4" w:rsidRDefault="004B39E4" w:rsidP="004B3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4B39E4" w:rsidRPr="004B39E4" w:rsidRDefault="004B39E4" w:rsidP="004B39E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C51D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4B39E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B39E4" w:rsidRDefault="004B39E4" w:rsidP="004B39E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4B39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по дисциплине «Менеджмент» </w:t>
      </w:r>
    </w:p>
    <w:p w:rsidR="004B39E4" w:rsidRDefault="004B39E4" w:rsidP="004B39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влияния факторов внешней и внутренней среды </w:t>
      </w:r>
    </w:p>
    <w:p w:rsid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STEP-анализ.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организации. На деятельность любой организации обязательно будут влиять следующие факторы: социальные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КО-факторы</w:t>
      </w:r>
      <w:proofErr w:type="spell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-матрицы (рис. 5.2) и дополнены необходимыми пояснениями в тексте. В матрице должны быть представлены только реально существующие на данный момент факторы. Недопустимы никакие прогнозные предложения типа: «Возможное изменение налогового законодательства». Так как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 являются факторами внешнего окружения, то их формулировка должна быть такой, чтобы было ясно, что фирма сама не может повлиять на этот фактор. Например, утверждения: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-1- «Возрастание среднего возраста трудящихся рассматриваемого предприятия» - неверно;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-1-«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Магнитогорске происходит интенсивное увеличение среднего возраста жителей» - правильно. 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проверить, соответствует ли ваша формулировка факторам внешней среды, надо задать себе вопрос: «Можем ли мы на это повлиять?». При положительном ответе формулировку надо изменить.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данного анализа - дать общее представление о положительных или отрицательных для организации тенденциях во внешней среде. Как правило, повышенную сложность представляет блок «Т», в нем надо отразить передовые направления развития аналогичных производств в мире, а не положительные стороны технологий анализируемой организации.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Pr="004B39E4" w:rsidRDefault="004B39E4" w:rsidP="004B39E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4029075" cy="20955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9E4" w:rsidRPr="004B39E4" w:rsidRDefault="00B2099E" w:rsidP="00B209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  <w:r w:rsidR="004B39E4"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Управленческая STEP-матрица.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Применяемый для анализа среды организации метод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сила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strength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слабость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weakness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возможности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opportunities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угрозы (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threats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является широко признанным подходом, позволяющим провести совместное изучение внешней и внутренней среды. 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Применяя метод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 Примерный набор характе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ристик может быть следующим. 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Сильные стороны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-факторы: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выдающаяся компетентность;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адекватные финансовые ресурсы;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высокая квалификация; 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репутация у покупателей;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подходящая технология;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в области издержек;</w:t>
      </w:r>
    </w:p>
    <w:p w:rsidR="004B39E4" w:rsidRPr="004B39E4" w:rsidRDefault="004B39E4" w:rsidP="004B39E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защищенность от сильного конкурентного давления и т.д. 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стороны -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-факторы: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устаревшее оборудование;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ясных стратегических направлений;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ухудшающаяся конкурентная позиция;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низкая прибыльность;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представления о рынке;</w:t>
      </w:r>
    </w:p>
    <w:p w:rsidR="004B39E4" w:rsidRPr="004B39E4" w:rsidRDefault="004B39E4" w:rsidP="004B39E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конкурентные недостатки и т.д. 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Внешние возможности - </w:t>
      </w:r>
      <w:proofErr w:type="spellStart"/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О-факторы</w:t>
      </w:r>
      <w:proofErr w:type="spellEnd"/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9E4" w:rsidRPr="004B39E4" w:rsidRDefault="004B39E4" w:rsidP="004B39E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роста рынка;</w:t>
      </w:r>
    </w:p>
    <w:p w:rsidR="004B39E4" w:rsidRPr="004B39E4" w:rsidRDefault="004B39E4" w:rsidP="004B39E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новых рынков или сегментов рынка;</w:t>
      </w:r>
    </w:p>
    <w:p w:rsidR="004B39E4" w:rsidRPr="004B39E4" w:rsidRDefault="004B39E4" w:rsidP="004B39E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темпов развития конкурирующих фирм;</w:t>
      </w:r>
    </w:p>
    <w:p w:rsidR="004B39E4" w:rsidRPr="004B39E4" w:rsidRDefault="004B39E4" w:rsidP="004B39E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спроса на сопутствующие продукции;</w:t>
      </w:r>
    </w:p>
    <w:p w:rsidR="004B39E4" w:rsidRPr="004B39E4" w:rsidRDefault="004B39E4" w:rsidP="004B39E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протекционистская политика государства и т.д.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угрозы - Т-факторы:</w:t>
      </w:r>
    </w:p>
    <w:p w:rsidR="004B39E4" w:rsidRPr="004B39E4" w:rsidRDefault="004B39E4" w:rsidP="004B39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появления новых конкурентов;</w:t>
      </w:r>
    </w:p>
    <w:p w:rsidR="004B39E4" w:rsidRPr="004B39E4" w:rsidRDefault="004B39E4" w:rsidP="004B39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продаж замещающего продукта;</w:t>
      </w:r>
    </w:p>
    <w:p w:rsidR="004B39E4" w:rsidRPr="004B39E4" w:rsidRDefault="004B39E4" w:rsidP="004B39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замедление роста рынка;</w:t>
      </w:r>
    </w:p>
    <w:p w:rsidR="004B39E4" w:rsidRPr="004B39E4" w:rsidRDefault="004B39E4" w:rsidP="004B39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возрастающее конкурентное давление;</w:t>
      </w:r>
    </w:p>
    <w:p w:rsidR="004B39E4" w:rsidRPr="004B39E4" w:rsidRDefault="004B39E4" w:rsidP="004B39E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неблагоприятная политика государства и т.д.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может дополнить каждую из 4-х частей списка теми характеристиками, которые отражают конкретную ситуацию, в которой она находится. После того, как конкретный список слабых и сильных сторон организации, а также угроз и возможностей со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ставлен, наступает этап установления связей между ними. Для установления этих связей составляется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-матрица (рис. 5.3).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матрице по вертикали и по горизонтали выделяются по два блока, которые соответствуют факторам внешней и внутренней среды. В блок внутренней среды вписываются все выявленные сильные и слабые стороны организации. В блок внешней среды вписываются все выявленные внешние возможности и угрозы. На пересечении блоков образуются 4 поля: 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силы и возможности,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силы и угрозы,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слабости и возможности </w:t>
      </w:r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слабости и угрозы.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из полей исследователь должен рассмотреть все возможные комбинации и сочетания факторов и выделить те, которые должны быть учтены при разработке стратегии поведения организации. Количество факторов в блоках значения не имеет, важна лишь их весомость. Так, у организации может быть 10-12 факторов силы, которые полностью нейтрализуются одной единственной угрозой.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109"/>
        <w:gridCol w:w="2189"/>
      </w:tblGrid>
      <w:tr w:rsidR="004B39E4" w:rsidRPr="004B39E4" w:rsidTr="00B2099E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2268" w:type="dxa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pict>
                <v:line id="_x0000_s1035" style="position:absolute;left:0;text-align:left;z-index:251660288" from="-3.8pt,2.5pt" to="104.5pt,37.3pt"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Внутренняя 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сре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 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09" w:type="dxa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СИЛА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41" style="position:absolute;left:0;text-align:left;z-index:251666432" from="16.5pt,10.85pt" to="16.5pt,117.65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40" style="position:absolute;left:0;text-align:left;z-index:251665408" from="8.9pt,12.45pt" to="8.9pt,56.55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………</w:t>
            </w:r>
          </w:p>
        </w:tc>
        <w:tc>
          <w:tcPr>
            <w:tcW w:w="2189" w:type="dxa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СЛАБОСТИ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42" style="position:absolute;left:0;text-align:left;z-index:251667456" from="10.05pt,15.95pt" to="10.05pt,84.9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43" style="position:absolute;left:0;text-align:left;z-index:251668480" from="87.65pt,11.05pt" to="87.65pt,123.6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…………..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………….</w:t>
            </w:r>
          </w:p>
        </w:tc>
      </w:tr>
      <w:tr w:rsidR="004B39E4" w:rsidRPr="004B39E4" w:rsidTr="00B2099E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2268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6" style="position:absolute;left:0;text-align:left;z-index:251661312" from="91.9pt,8.9pt" to="118.3pt,8.9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ВНЕШНИЕ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7" style="position:absolute;left:0;text-align:left;z-index:251662336" from="94.9pt,27.1pt" to="220.3pt,27.1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</w:p>
        </w:tc>
        <w:tc>
          <w:tcPr>
            <w:tcW w:w="2109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SO</w:t>
            </w:r>
          </w:p>
        </w:tc>
        <w:tc>
          <w:tcPr>
            <w:tcW w:w="2189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WO</w:t>
            </w:r>
          </w:p>
        </w:tc>
      </w:tr>
      <w:tr w:rsidR="004B39E4" w:rsidRPr="004B39E4" w:rsidTr="00B2099E">
        <w:tblPrEx>
          <w:tblCellMar>
            <w:top w:w="0" w:type="dxa"/>
            <w:bottom w:w="0" w:type="dxa"/>
          </w:tblCellMar>
        </w:tblPrEx>
        <w:trPr>
          <w:trHeight w:val="1474"/>
          <w:jc w:val="center"/>
        </w:trPr>
        <w:tc>
          <w:tcPr>
            <w:tcW w:w="2268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9" style="position:absolute;left:0;text-align:left;z-index:251664384;mso-position-horizontal-relative:text;mso-position-vertical-relative:text" from="96.5pt,24.5pt" to="298.3pt,24.5pt">
                  <v:stroke endarrow="block"/>
                  <w10:wrap side="left"/>
                </v:line>
              </w:pic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line id="_x0000_s1038" style="position:absolute;left:0;text-align:left;z-index:251663360;mso-position-horizontal-relative:text;mso-position-vertical-relative:text" from="94.4pt,18.3pt" to="127.1pt,18.3pt">
                  <v:stroke endarrow="block"/>
                  <w10:wrap side="left"/>
                </v:line>
              </w:pic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ВНЕШНИЕ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РОЗЫ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</w:t>
            </w:r>
          </w:p>
        </w:tc>
        <w:tc>
          <w:tcPr>
            <w:tcW w:w="2109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Поле</w:t>
            </w:r>
            <w:proofErr w:type="spellEnd"/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</w:t>
            </w:r>
          </w:p>
        </w:tc>
        <w:tc>
          <w:tcPr>
            <w:tcW w:w="2189" w:type="dxa"/>
            <w:vAlign w:val="center"/>
          </w:tcPr>
          <w:p w:rsidR="004B39E4" w:rsidRPr="004B39E4" w:rsidRDefault="004B39E4" w:rsidP="004B39E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</w:t>
            </w:r>
            <w:r w:rsidRPr="004B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WT</w:t>
            </w:r>
          </w:p>
        </w:tc>
      </w:tr>
    </w:tbl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39E4" w:rsidRPr="004B39E4" w:rsidRDefault="00B2099E" w:rsidP="00B209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2</w:t>
      </w:r>
      <w:r w:rsidR="004B39E4"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9E4"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="004B39E4" w:rsidRPr="00B209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9E4"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факторы в блоках: «возможности угрозы» и «силы и слабости» могут переходить в свою противоположность. Так, например, не использованная возможность может стать угрозой, если ее использовал конкурент; высококвалифицированный персонал может быть одновременно и силой организац</w:t>
      </w: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слабостью.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каждое из образовавшихся полей необходимо вписать 2 -3 варианта возможных действий организации. Формулировка вариантов должна быть приказной: «сделать, разработать, заменить и т.п.».</w:t>
      </w:r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9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-матрица представляет собой мгновенный фотоснимок на конкретный момент времени, поэтому в ней недопустимы ника</w:t>
      </w:r>
      <w:r w:rsidRPr="004B39E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кие прогнозные, предполагаемые факторы.</w:t>
      </w:r>
      <w:proofErr w:type="gramEnd"/>
    </w:p>
    <w:p w:rsidR="004B39E4" w:rsidRPr="004B39E4" w:rsidRDefault="004B39E4" w:rsidP="004B39E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39E4" w:rsidRPr="004B39E4" w:rsidSect="0004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97"/>
    <w:multiLevelType w:val="multilevel"/>
    <w:tmpl w:val="B3321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815"/>
    <w:multiLevelType w:val="multilevel"/>
    <w:tmpl w:val="174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232A5"/>
    <w:multiLevelType w:val="multilevel"/>
    <w:tmpl w:val="5164F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994403"/>
    <w:multiLevelType w:val="hybridMultilevel"/>
    <w:tmpl w:val="CA1A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DE1923"/>
    <w:multiLevelType w:val="multilevel"/>
    <w:tmpl w:val="165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A48F3"/>
    <w:multiLevelType w:val="hybridMultilevel"/>
    <w:tmpl w:val="B262F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123726"/>
    <w:multiLevelType w:val="hybridMultilevel"/>
    <w:tmpl w:val="E8883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B5E94"/>
    <w:multiLevelType w:val="multilevel"/>
    <w:tmpl w:val="3A204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27907"/>
    <w:multiLevelType w:val="hybridMultilevel"/>
    <w:tmpl w:val="B14A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8720188"/>
    <w:multiLevelType w:val="multilevel"/>
    <w:tmpl w:val="DDF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3638D4"/>
    <w:multiLevelType w:val="hybridMultilevel"/>
    <w:tmpl w:val="43323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043958"/>
    <w:rsid w:val="000F1EAC"/>
    <w:rsid w:val="00121A26"/>
    <w:rsid w:val="00142AF4"/>
    <w:rsid w:val="001A637E"/>
    <w:rsid w:val="00226F35"/>
    <w:rsid w:val="00231EEA"/>
    <w:rsid w:val="002515B8"/>
    <w:rsid w:val="0027696C"/>
    <w:rsid w:val="004B39E4"/>
    <w:rsid w:val="00534158"/>
    <w:rsid w:val="0059539B"/>
    <w:rsid w:val="005A3267"/>
    <w:rsid w:val="006F2858"/>
    <w:rsid w:val="00763FAD"/>
    <w:rsid w:val="007649E2"/>
    <w:rsid w:val="007C1EF3"/>
    <w:rsid w:val="007D1CC6"/>
    <w:rsid w:val="00817585"/>
    <w:rsid w:val="00817825"/>
    <w:rsid w:val="008B2C76"/>
    <w:rsid w:val="008F5B9D"/>
    <w:rsid w:val="00922225"/>
    <w:rsid w:val="00A55F81"/>
    <w:rsid w:val="00A71096"/>
    <w:rsid w:val="00AD4AFA"/>
    <w:rsid w:val="00B2099E"/>
    <w:rsid w:val="00B237EC"/>
    <w:rsid w:val="00B31494"/>
    <w:rsid w:val="00B400A3"/>
    <w:rsid w:val="00B6683F"/>
    <w:rsid w:val="00C15CBA"/>
    <w:rsid w:val="00C33DC0"/>
    <w:rsid w:val="00C51D11"/>
    <w:rsid w:val="00C96F15"/>
    <w:rsid w:val="00CC400B"/>
    <w:rsid w:val="00D10D50"/>
    <w:rsid w:val="00D740A6"/>
    <w:rsid w:val="00DE6E42"/>
    <w:rsid w:val="00E56DD1"/>
    <w:rsid w:val="00EB14D5"/>
    <w:rsid w:val="00EC623D"/>
    <w:rsid w:val="00EF659C"/>
    <w:rsid w:val="00FA1EED"/>
    <w:rsid w:val="00FC3F06"/>
    <w:rsid w:val="00FC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8"/>
  </w:style>
  <w:style w:type="paragraph" w:styleId="1">
    <w:name w:val="heading 1"/>
    <w:basedOn w:val="a"/>
    <w:next w:val="a"/>
    <w:link w:val="10"/>
    <w:qFormat/>
    <w:rsid w:val="009222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EC623D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C62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C62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C623D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EC62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2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922225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footnote text"/>
    <w:basedOn w:val="a"/>
    <w:link w:val="a5"/>
    <w:rsid w:val="009222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2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32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B3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library.ru/projes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edication.polpred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hyperlink" Target="http://znanium.com/bookread.php?book=228690%2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5032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Симаков</cp:lastModifiedBy>
  <cp:revision>2</cp:revision>
  <dcterms:created xsi:type="dcterms:W3CDTF">2020-02-05T07:23:00Z</dcterms:created>
  <dcterms:modified xsi:type="dcterms:W3CDTF">2020-02-05T07:23:00Z</dcterms:modified>
</cp:coreProperties>
</file>