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1F" w:rsidRPr="00DE6674" w:rsidRDefault="00C170F6" w:rsidP="00C170F6">
      <w:pPr>
        <w:jc w:val="both"/>
        <w:rPr>
          <w:b/>
          <w:bCs/>
          <w:sz w:val="2"/>
          <w:szCs w:val="2"/>
        </w:rPr>
      </w:pPr>
      <w:r w:rsidRPr="00C170F6">
        <w:rPr>
          <w:noProof/>
          <w:szCs w:val="20"/>
        </w:rPr>
        <w:drawing>
          <wp:inline distT="0" distB="0" distL="0" distR="0">
            <wp:extent cx="5760720" cy="82179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AF2BB2">
        <w:rPr>
          <w:rStyle w:val="FontStyle16"/>
          <w:b w:val="0"/>
          <w:sz w:val="24"/>
          <w:szCs w:val="24"/>
        </w:rPr>
        <w:br w:type="page"/>
      </w:r>
      <w:r w:rsidRPr="00C170F6">
        <w:rPr>
          <w:noProof/>
        </w:rPr>
        <w:lastRenderedPageBreak/>
        <w:drawing>
          <wp:inline distT="0" distB="0" distL="0" distR="0">
            <wp:extent cx="5760720" cy="8352414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AF2BB2">
        <w:rPr>
          <w:rStyle w:val="FontStyle16"/>
          <w:b w:val="0"/>
          <w:sz w:val="24"/>
          <w:szCs w:val="24"/>
        </w:rPr>
        <w:br w:type="page"/>
      </w:r>
      <w:r w:rsidRPr="00C170F6">
        <w:rPr>
          <w:noProof/>
        </w:rPr>
        <w:lastRenderedPageBreak/>
        <w:drawing>
          <wp:inline distT="0" distB="0" distL="0" distR="0">
            <wp:extent cx="5760720" cy="8339445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760720" cy="8334807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ВО по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зовательной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инженерная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7D6490" w:rsidRDefault="007D6490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  <w:p w:rsidR="007D6490" w:rsidRPr="007D6490" w:rsidRDefault="007D6490" w:rsidP="004108BA">
            <w:pPr>
              <w:rPr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рудоподготовки;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среды;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паемых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 xml:space="preserve">основными нормативными документами;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lastRenderedPageBreak/>
              <w:t>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горном деле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задач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формационных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основные закономерности развития деформаций откосов открытых выработок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босновывать параметры устойчивых откосов бортов и у</w:t>
            </w:r>
            <w:r w:rsidR="00C00322" w:rsidRPr="00A86A70">
              <w:rPr>
                <w:snapToGrid w:val="0"/>
              </w:rPr>
              <w:t>с</w:t>
            </w:r>
            <w:r w:rsidR="00C00322" w:rsidRPr="00A86A70">
              <w:rPr>
                <w:snapToGrid w:val="0"/>
              </w:rPr>
              <w:t xml:space="preserve">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отвалов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</w:t>
            </w:r>
            <w:r w:rsidR="00C00322" w:rsidRPr="00A86A70">
              <w:t>с</w:t>
            </w:r>
            <w:r w:rsidR="00C00322" w:rsidRPr="00A86A70">
              <w:t>тупов и бортов карьеров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>етоды повышения полноты освоения природных и техн</w:t>
            </w:r>
            <w:r w:rsidR="00C00322" w:rsidRPr="004C4D33">
              <w:t>о</w:t>
            </w:r>
            <w:r w:rsidR="00C00322" w:rsidRPr="004C4D33">
              <w:t>генных георесурсов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>етоды повышения полноты освоения пр</w:t>
            </w:r>
            <w:r w:rsidR="00C00322" w:rsidRPr="004C4D33">
              <w:t>и</w:t>
            </w:r>
            <w:r w:rsidR="00C00322" w:rsidRPr="004C4D33">
              <w:t>родных и техногенных георесурсов</w:t>
            </w:r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>етодами рационального и комплексного освоения 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 потенциала недр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F4FF5" w:rsidRDefault="001F4FF5" w:rsidP="001F4FF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6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 216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1F4FF5" w:rsidRPr="00FB2080" w:rsidRDefault="001F4FF5" w:rsidP="001F4FF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95 акад. часов;</w:t>
      </w:r>
    </w:p>
    <w:p w:rsidR="001F4FF5" w:rsidRPr="00FB2080" w:rsidRDefault="001F4FF5" w:rsidP="001F4FF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F4FF5" w:rsidRPr="00FB2080" w:rsidRDefault="001F4FF5" w:rsidP="001F4FF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</w:p>
    <w:p w:rsidR="001F4FF5" w:rsidRPr="00FB2080" w:rsidRDefault="001F4FF5" w:rsidP="001F4FF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85,3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F4FF5" w:rsidRPr="00FB2080" w:rsidRDefault="001F4FF5" w:rsidP="001F4FF5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 xml:space="preserve">35,7 </w:t>
      </w:r>
      <w:r w:rsidRPr="00FB2080">
        <w:rPr>
          <w:rStyle w:val="FontStyle18"/>
          <w:b w:val="0"/>
          <w:sz w:val="24"/>
          <w:szCs w:val="24"/>
        </w:rPr>
        <w:t xml:space="preserve"> акад. часа</w:t>
      </w:r>
    </w:p>
    <w:p w:rsidR="001F4FF5" w:rsidRDefault="001F4FF5" w:rsidP="001F4FF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F4FF5" w:rsidRPr="00AF2BB2" w:rsidTr="00CC141B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F4FF5" w:rsidRDefault="001F4FF5" w:rsidP="00CC141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F4FF5" w:rsidRPr="00AF2BB2" w:rsidRDefault="001F4FF5" w:rsidP="00CC141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F4FF5" w:rsidRPr="00AF2BB2" w:rsidRDefault="001F4FF5" w:rsidP="00CC141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1F4FF5" w:rsidRPr="00AF2BB2" w:rsidRDefault="001F4FF5" w:rsidP="00CC141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F4FF5" w:rsidRPr="00AF2BB2" w:rsidRDefault="001F4FF5" w:rsidP="00CC141B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1F4FF5" w:rsidRPr="00AF2BB2" w:rsidRDefault="001F4FF5" w:rsidP="00CC141B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F4FF5" w:rsidRPr="00A42A17" w:rsidRDefault="001F4FF5" w:rsidP="00CC141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F4FF5" w:rsidRPr="00A42A17" w:rsidRDefault="001F4FF5" w:rsidP="00CC141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F4FF5" w:rsidRPr="00A42A17" w:rsidRDefault="001F4FF5" w:rsidP="00CC141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F4FF5" w:rsidRPr="00AF2BB2" w:rsidTr="00CC141B">
        <w:trPr>
          <w:cantSplit/>
          <w:trHeight w:val="1348"/>
        </w:trPr>
        <w:tc>
          <w:tcPr>
            <w:tcW w:w="1707" w:type="pct"/>
            <w:vMerge/>
          </w:tcPr>
          <w:p w:rsidR="001F4FF5" w:rsidRPr="00AF2BB2" w:rsidRDefault="001F4FF5" w:rsidP="00CC141B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F4FF5" w:rsidRPr="00AF2BB2" w:rsidRDefault="001F4FF5" w:rsidP="00CC141B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F4FF5" w:rsidRPr="00AF2BB2" w:rsidRDefault="001F4FF5" w:rsidP="00CC141B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F4FF5" w:rsidRPr="00AF2BB2" w:rsidRDefault="001F4FF5" w:rsidP="00CC141B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F4FF5" w:rsidRPr="00AF2BB2" w:rsidRDefault="001F4FF5" w:rsidP="00CC141B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F4FF5" w:rsidRPr="00AF2BB2" w:rsidRDefault="001F4FF5" w:rsidP="00CC141B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F4FF5" w:rsidRPr="00AF2BB2" w:rsidRDefault="001F4FF5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F4FF5" w:rsidRPr="00AF2BB2" w:rsidRDefault="001F4FF5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F4FF5" w:rsidRPr="00AF2BB2" w:rsidRDefault="001F4FF5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Pr="00A42A17" w:rsidRDefault="00B405DE" w:rsidP="00CC141B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ОПК-6;</w:t>
            </w:r>
          </w:p>
          <w:p w:rsidR="00B405DE" w:rsidRPr="00012B8F" w:rsidRDefault="00B405DE" w:rsidP="00CC141B"/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Pr="00A42A17" w:rsidRDefault="00B405DE" w:rsidP="00CC141B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ОПК-8;</w:t>
            </w: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pct"/>
            <w:vAlign w:val="center"/>
          </w:tcPr>
          <w:p w:rsidR="00B405DE" w:rsidRPr="009D46B3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открытых работах</w:t>
            </w:r>
          </w:p>
        </w:tc>
        <w:tc>
          <w:tcPr>
            <w:tcW w:w="307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ОПК-6;</w:t>
            </w:r>
          </w:p>
          <w:p w:rsidR="00B405DE" w:rsidRPr="00012B8F" w:rsidRDefault="00B405DE" w:rsidP="00CC141B">
            <w:r w:rsidRPr="00012B8F">
              <w:t>ПК-2</w:t>
            </w:r>
          </w:p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Типы месторождений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ОПК-6;</w:t>
            </w:r>
          </w:p>
          <w:p w:rsidR="00B405DE" w:rsidRPr="00012B8F" w:rsidRDefault="00B405DE" w:rsidP="00CC141B">
            <w:r w:rsidRPr="00012B8F">
              <w:t>ПК-2</w:t>
            </w:r>
          </w:p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Элементы карьера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ОПК-6;</w:t>
            </w:r>
          </w:p>
          <w:p w:rsidR="00B405DE" w:rsidRPr="00012B8F" w:rsidRDefault="00B405DE" w:rsidP="00CC141B">
            <w:r w:rsidRPr="00012B8F">
              <w:t>ПК-2</w:t>
            </w:r>
          </w:p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2.4 Виды открытых разработок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2.5 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2.6 Этапы разработки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22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2.7 Основные коэффициенты вскрыши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  <w:vAlign w:val="center"/>
          </w:tcPr>
          <w:p w:rsidR="00B405DE" w:rsidRPr="009D46B3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6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B405DE" w:rsidRPr="009D46B3" w:rsidRDefault="00B405DE" w:rsidP="00CC141B">
            <w:pPr>
              <w:rPr>
                <w:b/>
              </w:rPr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06540B" w:rsidRDefault="00B405DE" w:rsidP="00CC141B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месторождений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ОПК-8;</w:t>
            </w:r>
          </w:p>
          <w:p w:rsidR="00B405DE" w:rsidRPr="00012B8F" w:rsidRDefault="00B405DE" w:rsidP="00CC141B">
            <w:pPr>
              <w:pStyle w:val="Style14"/>
              <w:jc w:val="center"/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Классификация вскрывающих выраб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r w:rsidRPr="00012B8F">
              <w:t>ОПК-8;</w:t>
            </w:r>
          </w:p>
          <w:p w:rsidR="00B405DE" w:rsidRPr="00012B8F" w:rsidRDefault="00B405DE" w:rsidP="00CC141B">
            <w:pPr>
              <w:pStyle w:val="Style14"/>
              <w:jc w:val="center"/>
            </w:pP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387" w:type="pct"/>
            <w:vAlign w:val="center"/>
          </w:tcPr>
          <w:p w:rsidR="00B405DE" w:rsidRPr="009D46B3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6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B405DE" w:rsidRPr="009D46B3" w:rsidRDefault="00B405DE" w:rsidP="00CC141B">
            <w:pPr>
              <w:rPr>
                <w:b/>
              </w:rPr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06540B" w:rsidRDefault="00B405DE" w:rsidP="00CC141B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месторождений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5C239B" w:rsidRDefault="00B405DE" w:rsidP="00CC141B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Классификации систем ОГР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Элементы систем разработки местор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ждения. Параметры и показатели.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7/7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B405DE" w:rsidRPr="00A42A17" w:rsidRDefault="00B405DE" w:rsidP="00CC141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Характеристика бестранспортных си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тем разработки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387" w:type="pct"/>
            <w:vAlign w:val="center"/>
          </w:tcPr>
          <w:p w:rsidR="00B405DE" w:rsidRPr="009D46B3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6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B405DE" w:rsidRPr="009D46B3" w:rsidRDefault="00B405DE" w:rsidP="00CC141B">
            <w:pPr>
              <w:rPr>
                <w:b/>
              </w:rPr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06540B" w:rsidRDefault="00B405DE" w:rsidP="00CC141B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 xml:space="preserve">Основные производственные процессы на </w:t>
            </w:r>
            <w:r w:rsidRPr="005961AC">
              <w:rPr>
                <w:snapToGrid w:val="0"/>
              </w:rPr>
              <w:lastRenderedPageBreak/>
              <w:t>карьерах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Pr="00587BFB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Pr="00AF2BB2" w:rsidRDefault="00B405D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B405DE" w:rsidRPr="00012B8F" w:rsidRDefault="00B405DE" w:rsidP="00CC141B"/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Pr="005961AC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5.1 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4/1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r w:rsidRPr="00012B8F">
              <w:t>ОПК-9;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5.2 Буровзрывные работы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r w:rsidRPr="00012B8F">
              <w:t>ОПК-9;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Выемочно-погрузочные работы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r w:rsidRPr="00012B8F">
              <w:t>ОПК-9;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Транспортирование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r w:rsidRPr="00012B8F">
              <w:t>ОПК-9;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99"/>
        </w:trPr>
        <w:tc>
          <w:tcPr>
            <w:tcW w:w="1707" w:type="pct"/>
            <w:vAlign w:val="center"/>
          </w:tcPr>
          <w:p w:rsidR="00B405DE" w:rsidRDefault="00B405DE" w:rsidP="00CC141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5.5 Отвалообразование</w:t>
            </w:r>
          </w:p>
        </w:tc>
        <w:tc>
          <w:tcPr>
            <w:tcW w:w="307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B405DE" w:rsidRDefault="00B405DE" w:rsidP="00CC141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B405DE" w:rsidRDefault="00B405DE" w:rsidP="000276FB">
            <w:pPr>
              <w:pStyle w:val="Style14"/>
              <w:widowControl/>
              <w:jc w:val="center"/>
            </w:pPr>
            <w:r>
              <w:t>5,3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B405DE" w:rsidRPr="0066195A" w:rsidRDefault="00B405DE" w:rsidP="00CC141B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B405DE" w:rsidRPr="00012B8F" w:rsidRDefault="00B405DE" w:rsidP="00CC141B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B405DE" w:rsidRPr="00012B8F" w:rsidRDefault="00B405DE" w:rsidP="00CC141B">
            <w:r w:rsidRPr="00012B8F">
              <w:t>ОПК-9;</w:t>
            </w:r>
          </w:p>
          <w:p w:rsidR="00B405DE" w:rsidRPr="00012B8F" w:rsidRDefault="00B405DE" w:rsidP="00CC141B">
            <w:pPr>
              <w:pStyle w:val="Style14"/>
              <w:widowControl/>
              <w:jc w:val="center"/>
            </w:pP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18/3</w:t>
            </w:r>
          </w:p>
        </w:tc>
        <w:tc>
          <w:tcPr>
            <w:tcW w:w="387" w:type="pct"/>
            <w:vAlign w:val="center"/>
          </w:tcPr>
          <w:p w:rsidR="00B405DE" w:rsidRPr="009D46B3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726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B405DE" w:rsidRPr="009D46B3" w:rsidRDefault="00B405DE" w:rsidP="00CC141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B405DE" w:rsidRPr="009D46B3" w:rsidRDefault="00B405DE" w:rsidP="00CC141B">
            <w:pPr>
              <w:rPr>
                <w:b/>
              </w:rPr>
            </w:pPr>
          </w:p>
        </w:tc>
      </w:tr>
      <w:tr w:rsidR="00B405DE" w:rsidRPr="00AF2BB2" w:rsidTr="00CC141B">
        <w:trPr>
          <w:trHeight w:val="432"/>
        </w:trPr>
        <w:tc>
          <w:tcPr>
            <w:tcW w:w="1707" w:type="pct"/>
          </w:tcPr>
          <w:p w:rsidR="00B405DE" w:rsidRDefault="00B405DE" w:rsidP="00CC141B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B405DE" w:rsidRPr="009756EB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B405DE" w:rsidRPr="009756EB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B405DE" w:rsidRPr="009756EB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B405DE" w:rsidRPr="009756EB" w:rsidRDefault="00B405DE" w:rsidP="001F4F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36/16</w:t>
            </w:r>
          </w:p>
        </w:tc>
        <w:tc>
          <w:tcPr>
            <w:tcW w:w="387" w:type="pct"/>
            <w:vAlign w:val="center"/>
          </w:tcPr>
          <w:p w:rsidR="00B405DE" w:rsidRPr="009756EB" w:rsidRDefault="00B405D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9756EB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B405DE" w:rsidRPr="00AF2BB2" w:rsidRDefault="00B405DE" w:rsidP="00CC141B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B405DE" w:rsidRPr="002D2BD1" w:rsidRDefault="00B405DE" w:rsidP="00CC141B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B405DE" w:rsidRPr="007D6490" w:rsidRDefault="00B405DE" w:rsidP="00CC141B">
            <w:pPr>
              <w:rPr>
                <w:b/>
              </w:rPr>
            </w:pPr>
          </w:p>
        </w:tc>
      </w:tr>
    </w:tbl>
    <w:p w:rsidR="001F4FF5" w:rsidRDefault="001F4FF5" w:rsidP="001F4FF5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</w:p>
    <w:p w:rsidR="001F4FF5" w:rsidRDefault="001F4FF5" w:rsidP="001F4FF5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>
        <w:rPr>
          <w:rStyle w:val="FontStyle18"/>
          <w:b w:val="0"/>
          <w:i/>
          <w:sz w:val="24"/>
          <w:szCs w:val="24"/>
        </w:rPr>
        <w:t>36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B405DE">
        <w:rPr>
          <w:rStyle w:val="FontStyle18"/>
          <w:b w:val="0"/>
          <w:i/>
          <w:sz w:val="24"/>
          <w:szCs w:val="24"/>
        </w:rPr>
        <w:t>16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</w:t>
      </w:r>
      <w:r w:rsidRPr="00F14C87">
        <w:rPr>
          <w:rStyle w:val="FontStyle18"/>
          <w:b w:val="0"/>
          <w:i/>
          <w:sz w:val="24"/>
          <w:szCs w:val="24"/>
        </w:rPr>
        <w:t>н</w:t>
      </w:r>
      <w:r w:rsidRPr="00F14C87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месторождений;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производственные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работ?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осущ</w:t>
      </w:r>
      <w:r w:rsidRPr="00153516">
        <w:rPr>
          <w:color w:val="000000"/>
        </w:rPr>
        <w:t>е</w:t>
      </w:r>
      <w:r w:rsidRPr="00153516">
        <w:rPr>
          <w:color w:val="000000"/>
        </w:rPr>
        <w:t>ствляются в подземных горных выработках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горизонте при углубочной системе разработке называются?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ступени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A17410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Ответ:</w:t>
      </w:r>
      <w:r w:rsidRPr="00A17410">
        <w:rPr>
          <w:color w:val="000000"/>
        </w:rPr>
        <w:t xml:space="preserve"> </w:t>
      </w:r>
      <w:r w:rsidRPr="00153516">
        <w:rPr>
          <w:color w:val="000000"/>
          <w:lang w:val="en-US"/>
        </w:rPr>
        <w:t>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1731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заданию преподавателя.</w:t>
      </w: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31615" cy="134366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 xml:space="preserve">Вычертить в соответствии с исходными данными, представленные на рисунках карьерные выработки: 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9185" cy="130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7615" cy="118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4815" r="55235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5725" cy="164147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66149E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60445" cy="2071370"/>
            <wp:effectExtent l="19050" t="0" r="1905" b="0"/>
            <wp:docPr id="7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 b="2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>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2258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горных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</w:t>
            </w:r>
            <w:r>
              <w:t>к</w:t>
            </w:r>
            <w:r>
              <w:t>ружающей среды;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месторождения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осущес</w:t>
            </w:r>
            <w:r w:rsidRPr="00DA5750">
              <w:rPr>
                <w:color w:val="000000"/>
              </w:rPr>
              <w:t>т</w:t>
            </w:r>
            <w:r w:rsidRPr="00DA5750">
              <w:rPr>
                <w:color w:val="000000"/>
              </w:rPr>
              <w:t>вляются в подземных горных выработках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5. Горизонтальное проложение уступа определяется по формуле: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x = Hy*sin(b)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х = Hy*ctg(α)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ризонте при углубочной системе разработке называются?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называется?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работ при открытой разработке месторождений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4CF" w:rsidRPr="002F6759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F6759">
              <w:rPr>
                <w:rFonts w:ascii="Arial" w:hAnsi="Arial" w:cs="Arial"/>
              </w:rPr>
              <w:t>ычертить в разрезе и в плане участок рабочей зоны карьера, с</w:t>
            </w:r>
            <w:r w:rsidRPr="002F6759">
              <w:rPr>
                <w:rFonts w:ascii="Arial" w:hAnsi="Arial" w:cs="Arial"/>
              </w:rPr>
              <w:t>о</w:t>
            </w:r>
            <w:r w:rsidRPr="002F6759">
              <w:rPr>
                <w:rFonts w:ascii="Arial" w:hAnsi="Arial" w:cs="Arial"/>
              </w:rPr>
              <w:t>стоящий из двух уступов</w:t>
            </w:r>
            <w:r>
              <w:rPr>
                <w:rFonts w:ascii="Arial" w:hAnsi="Arial" w:cs="Arial"/>
              </w:rPr>
              <w:t xml:space="preserve"> – вскрышного и добычного (рис.). </w:t>
            </w:r>
            <w:r w:rsidRPr="002F6759">
              <w:rPr>
                <w:rFonts w:ascii="Arial" w:hAnsi="Arial" w:cs="Arial"/>
              </w:rPr>
              <w:t>Чертеж выпо</w:t>
            </w:r>
            <w:r w:rsidRPr="002F6759">
              <w:rPr>
                <w:rFonts w:ascii="Arial" w:hAnsi="Arial" w:cs="Arial"/>
              </w:rPr>
              <w:t>л</w:t>
            </w:r>
            <w:r w:rsidRPr="002F6759">
              <w:rPr>
                <w:rFonts w:ascii="Arial" w:hAnsi="Arial" w:cs="Arial"/>
              </w:rPr>
              <w:t xml:space="preserve">нить в масштабе </w:t>
            </w:r>
            <w:r>
              <w:rPr>
                <w:rFonts w:ascii="Arial" w:hAnsi="Arial" w:cs="Arial"/>
              </w:rPr>
              <w:t xml:space="preserve"> 1:200</w:t>
            </w:r>
            <w:r w:rsidRPr="002F6759">
              <w:rPr>
                <w:rFonts w:ascii="Arial" w:hAnsi="Arial" w:cs="Arial"/>
              </w:rPr>
              <w:t>. По результатам построения определить угол р</w:t>
            </w:r>
            <w:r w:rsidRPr="002F6759">
              <w:rPr>
                <w:rFonts w:ascii="Arial" w:hAnsi="Arial" w:cs="Arial"/>
              </w:rPr>
              <w:t>а</w:t>
            </w:r>
            <w:r w:rsidRPr="002F6759">
              <w:rPr>
                <w:rFonts w:ascii="Arial" w:hAnsi="Arial" w:cs="Arial"/>
              </w:rPr>
              <w:t>бочего бор</w:t>
            </w:r>
            <w:r>
              <w:rPr>
                <w:rFonts w:ascii="Arial" w:hAnsi="Arial" w:cs="Arial"/>
              </w:rPr>
              <w:t>та участка карьера.</w:t>
            </w:r>
          </w:p>
          <w:p w:rsidR="006434CF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 xml:space="preserve">Исходные данные для выполнения практической работы </w:t>
            </w:r>
            <w:r>
              <w:rPr>
                <w:rFonts w:ascii="Arial" w:hAnsi="Arial" w:cs="Arial"/>
              </w:rPr>
              <w:t>по заданию преподавателя</w:t>
            </w:r>
            <w:r w:rsidRPr="002F6759">
              <w:rPr>
                <w:rFonts w:ascii="Arial" w:hAnsi="Arial" w:cs="Arial"/>
              </w:rPr>
              <w:t>.</w:t>
            </w:r>
          </w:p>
          <w:p w:rsidR="006E2E69" w:rsidRPr="00457C1A" w:rsidRDefault="0066149E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24630" cy="173164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630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деле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масштабе 1:100 или 1:200.</w:t>
            </w:r>
          </w:p>
          <w:p w:rsidR="003A1AA6" w:rsidRPr="008D0BD1" w:rsidRDefault="0066149E" w:rsidP="003A1AA6">
            <w:pPr>
              <w:ind w:firstLine="218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31615" cy="1343660"/>
                  <wp:effectExtent l="1905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заданию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snapToGrid w:val="0"/>
              </w:rPr>
              <w:t>- Оосновные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 xml:space="preserve">- Обосновывать параметры устойчивых откосов бортов и уступов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ках карьерные выработки: 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69185" cy="1302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07615" cy="1184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4815" r="55235" b="1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25725" cy="1641475"/>
                  <wp:effectExtent l="1905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Pr="002F6759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(полутраншеи)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Современными методами оценки у</w:t>
            </w:r>
            <w:r w:rsidRPr="008D0BD1">
              <w:t>с</w:t>
            </w:r>
            <w:r w:rsidRPr="008D0BD1">
              <w:t>тойчивости откосов уступов и бортов карьеров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9429A6" w:rsidRDefault="009429A6" w:rsidP="009429A6">
            <w:pPr>
              <w:pStyle w:val="11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Методы повышения полноты освоения природных и техногенных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способом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месторождений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добывающие: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>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контурного и граничного коэффициентов вскрыши.</w:t>
            </w:r>
          </w:p>
          <w:p w:rsidR="00DA6290" w:rsidRPr="008D0BD1" w:rsidRDefault="0066149E" w:rsidP="00E2108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560445" cy="2071370"/>
                  <wp:effectExtent l="19050" t="0" r="1905" b="0"/>
                  <wp:docPr id="14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07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>ного освоения георесурсного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216AE0" w:rsidRDefault="008D0BD1" w:rsidP="00794801">
            <w:r w:rsidRPr="00216AE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Default="00216AE0" w:rsidP="0021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C6700E">
              <w:rPr>
                <w:color w:val="000000"/>
                <w:shd w:val="clear" w:color="auto" w:fill="FFFFFF"/>
              </w:rPr>
              <w:t xml:space="preserve">Практическими навыками разработки паспортов выполнения </w:t>
            </w:r>
            <w:r>
              <w:rPr>
                <w:color w:val="000000"/>
                <w:shd w:val="clear" w:color="auto" w:fill="FFFFFF"/>
              </w:rPr>
              <w:t xml:space="preserve">всех </w:t>
            </w:r>
            <w:r w:rsidRPr="00C6700E">
              <w:rPr>
                <w:color w:val="000000"/>
                <w:shd w:val="clear" w:color="auto" w:fill="FFFFFF"/>
              </w:rPr>
              <w:t xml:space="preserve">основных технологических процессов, </w:t>
            </w:r>
          </w:p>
          <w:p w:rsidR="008D0BD1" w:rsidRPr="00457C1A" w:rsidRDefault="00216AE0" w:rsidP="00216AE0">
            <w:pPr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- Раз</w:t>
            </w:r>
            <w:r w:rsidRPr="00C6700E">
              <w:rPr>
                <w:color w:val="000000"/>
                <w:shd w:val="clear" w:color="auto" w:fill="FFFFFF"/>
              </w:rPr>
              <w:t>рабатывать схемы монтажа взры</w:t>
            </w:r>
            <w:r w:rsidRPr="00C6700E">
              <w:rPr>
                <w:color w:val="000000"/>
                <w:shd w:val="clear" w:color="auto" w:fill="FFFFFF"/>
              </w:rPr>
              <w:t>в</w:t>
            </w:r>
            <w:r w:rsidRPr="00C6700E">
              <w:rPr>
                <w:color w:val="000000"/>
                <w:shd w:val="clear" w:color="auto" w:fill="FFFFFF"/>
              </w:rPr>
              <w:t>ной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2E0" w:rsidRPr="008B42E0" w:rsidRDefault="00D25F27" w:rsidP="00794801">
            <w:pPr>
              <w:ind w:firstLine="502"/>
              <w:jc w:val="both"/>
            </w:pPr>
            <w:r>
              <w:t xml:space="preserve">1. </w:t>
            </w:r>
            <w:r w:rsidR="006434CF" w:rsidRPr="008B42E0">
              <w:t>Рассчитать следующие параметры буровзрывных работ: Диаметр скваж</w:t>
            </w:r>
            <w:r w:rsidR="006434CF" w:rsidRPr="008B42E0">
              <w:t>и</w:t>
            </w:r>
            <w:r w:rsidR="006434CF" w:rsidRPr="008B42E0">
              <w:t>ны, величина преодолеваемого сопротивления по подошве</w:t>
            </w:r>
            <w:r w:rsidR="008B42E0" w:rsidRPr="008B42E0">
              <w:t>, Длина перебура скв</w:t>
            </w:r>
            <w:r w:rsidR="008B42E0" w:rsidRPr="008B42E0">
              <w:t>а</w:t>
            </w:r>
            <w:r w:rsidR="008B42E0" w:rsidRPr="008B42E0">
              <w:t>жины ниже отметки подошвы уступа, Глубина скважины, Длина забойки, Ра</w:t>
            </w:r>
            <w:r w:rsidR="008B42E0" w:rsidRPr="008B42E0">
              <w:t>с</w:t>
            </w:r>
            <w:r w:rsidR="008B42E0" w:rsidRPr="008B42E0">
              <w:t>стояние между скважинами, Масса заряда в скважине, Длина заряда, Объем взр</w:t>
            </w:r>
            <w:r w:rsidR="008B42E0" w:rsidRPr="008B42E0">
              <w:t>ы</w:t>
            </w:r>
            <w:r w:rsidR="008B42E0" w:rsidRPr="008B42E0">
              <w:t>ваемого блока. Исходные данные для выполнения задачи по заданию преподав</w:t>
            </w:r>
            <w:r w:rsidR="008B42E0" w:rsidRPr="008B42E0">
              <w:t>а</w:t>
            </w:r>
            <w:r w:rsidR="008B42E0" w:rsidRPr="008B42E0">
              <w:t>теля.</w:t>
            </w:r>
          </w:p>
          <w:p w:rsidR="00A155EA" w:rsidRPr="00A155EA" w:rsidRDefault="00D25F27" w:rsidP="00A155EA">
            <w:pPr>
              <w:ind w:firstLine="502"/>
              <w:jc w:val="both"/>
            </w:pPr>
            <w:r>
              <w:t xml:space="preserve">2. </w:t>
            </w:r>
            <w:r w:rsidR="00794801" w:rsidRPr="00A155EA">
              <w:t>Рассчитать производительность экскаватора: Теоретическая, Техническая, Эксплуатационная. Рассчитать необходимое количество рабочих экскаваторов</w:t>
            </w:r>
            <w:r w:rsidR="00A155EA" w:rsidRPr="00A155EA">
              <w:t xml:space="preserve">. </w:t>
            </w:r>
            <w:r w:rsidR="00A155EA" w:rsidRPr="00A155EA">
              <w:lastRenderedPageBreak/>
              <w:t>Исходные данные для выполнения задачи по заданию преподавателя.</w:t>
            </w:r>
          </w:p>
          <w:p w:rsidR="00D25F27" w:rsidRDefault="00D25F27" w:rsidP="00D25F27">
            <w:pPr>
              <w:ind w:firstLine="502"/>
              <w:jc w:val="both"/>
            </w:pPr>
            <w:r w:rsidRPr="00D25F27">
              <w:t>3. Выбрать тип и рассчитать производительность карьерных автосамосвалов</w:t>
            </w:r>
            <w:r>
              <w:t>.</w:t>
            </w:r>
            <w:r w:rsidRPr="00A155EA">
              <w:t xml:space="preserve"> Исходные данные для выполнения задачи по заданию преподавателя.</w:t>
            </w:r>
          </w:p>
          <w:p w:rsidR="009429A6" w:rsidRPr="008B42E0" w:rsidRDefault="009858CE" w:rsidP="009429A6">
            <w:pPr>
              <w:ind w:firstLine="502"/>
              <w:jc w:val="both"/>
            </w:pPr>
            <w:r w:rsidRPr="009858CE">
              <w:t>4. Выбрать тип электровозов и думпкаров, выполнить эксплуатационный ра</w:t>
            </w:r>
            <w:r w:rsidRPr="009858CE">
              <w:t>с</w:t>
            </w:r>
            <w:r w:rsidRPr="009858CE">
              <w:t>чет железнодорожного транспорта</w:t>
            </w:r>
            <w:r>
              <w:t>.</w:t>
            </w:r>
            <w:r w:rsidR="009429A6" w:rsidRPr="008B42E0">
              <w:t xml:space="preserve"> Исходные данные для выполнения задачи по заданию преподавателя.</w:t>
            </w:r>
          </w:p>
          <w:p w:rsidR="008B42E0" w:rsidRPr="00457C1A" w:rsidRDefault="008B42E0" w:rsidP="006434CF">
            <w:pPr>
              <w:rPr>
                <w:i/>
                <w:highlight w:val="yellow"/>
              </w:rPr>
            </w:pP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7754E4" w:rsidRPr="00AF2BB2" w:rsidRDefault="00481694" w:rsidP="00D73654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дисциплины (модуля)</w:t>
      </w:r>
    </w:p>
    <w:p w:rsidR="00D73654" w:rsidRPr="008C5019" w:rsidRDefault="00D73654" w:rsidP="00D7365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D73654" w:rsidRDefault="00D73654" w:rsidP="00D73654">
      <w:pPr>
        <w:pStyle w:val="Style10"/>
        <w:widowControl/>
        <w:ind w:firstLine="720"/>
        <w:jc w:val="both"/>
      </w:pPr>
      <w:r>
        <w:t xml:space="preserve">1. Городниченко, В.И., Дмитриев А.П.. Основы горного дела </w:t>
      </w:r>
      <w:r w:rsidRPr="002A3569">
        <w:t>[Электронный р</w:t>
      </w:r>
      <w:r w:rsidRPr="002A3569">
        <w:t>е</w:t>
      </w:r>
      <w:r w:rsidRPr="002A3569">
        <w:t>сурс]</w:t>
      </w:r>
      <w:r>
        <w:t>: Учебник для вузов. – 2-е изд. стер. М.: Издательство «Горная книга» , 2016. – 443 с.</w:t>
      </w:r>
      <w:r w:rsidRPr="00E41F72">
        <w:t xml:space="preserve"> </w:t>
      </w:r>
      <w:r w:rsidRPr="002A3569">
        <w:t>— Режим доступа:</w:t>
      </w:r>
      <w:r>
        <w:t xml:space="preserve"> </w:t>
      </w:r>
      <w:hyperlink r:id="rId20" w:anchor="1" w:history="1">
        <w:r>
          <w:rPr>
            <w:rStyle w:val="ac"/>
          </w:rPr>
          <w:t>https://e.lanbook.com/reader/book/101753/#1</w:t>
        </w:r>
      </w:hyperlink>
      <w:r w:rsidRPr="002A3569">
        <w:t xml:space="preserve">. </w:t>
      </w:r>
      <w:r>
        <w:t>- Загл. с экрана.</w:t>
      </w:r>
    </w:p>
    <w:p w:rsidR="00D73654" w:rsidRPr="000D17DE" w:rsidRDefault="00D73654" w:rsidP="00D73654">
      <w:pPr>
        <w:shd w:val="clear" w:color="auto" w:fill="FFFFFF"/>
        <w:ind w:firstLine="709"/>
      </w:pPr>
      <w:r>
        <w:t xml:space="preserve">2. </w:t>
      </w:r>
      <w:hyperlink r:id="rId21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2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Мартьянов; КузГТУ. - Кемерово 2017. - 189 с. </w:t>
      </w:r>
      <w:r w:rsidRPr="002A3569">
        <w:t>— Режим доступа:</w:t>
      </w:r>
      <w:r w:rsidRPr="000D17DE">
        <w:t xml:space="preserve"> </w:t>
      </w:r>
      <w:hyperlink r:id="rId23" w:anchor="1" w:history="1">
        <w:r>
          <w:rPr>
            <w:rStyle w:val="ac"/>
          </w:rPr>
          <w:t>https://e.lanbook.com/reader/book/105426/#1</w:t>
        </w:r>
      </w:hyperlink>
      <w:r>
        <w:t>. - Загл. с экрана.</w:t>
      </w:r>
    </w:p>
    <w:p w:rsidR="00D73654" w:rsidRDefault="00D73654" w:rsidP="00D73654">
      <w:pPr>
        <w:pStyle w:val="Style10"/>
        <w:widowControl/>
        <w:ind w:firstLine="720"/>
        <w:jc w:val="both"/>
      </w:pPr>
    </w:p>
    <w:p w:rsidR="00D73654" w:rsidRDefault="00D73654" w:rsidP="00D7365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D73654" w:rsidRPr="00DF7290" w:rsidRDefault="00D73654" w:rsidP="00D7365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73654" w:rsidRDefault="00D73654" w:rsidP="00D73654">
      <w:pPr>
        <w:pStyle w:val="Style10"/>
        <w:widowControl/>
        <w:ind w:firstLine="720"/>
        <w:jc w:val="both"/>
      </w:pPr>
      <w:r>
        <w:t>1. В</w:t>
      </w:r>
      <w:r w:rsidRPr="002A3569">
        <w:t xml:space="preserve">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4" w:history="1">
        <w:r w:rsidRPr="00836C51">
          <w:rPr>
            <w:rStyle w:val="ac"/>
          </w:rPr>
          <w:t>https://e.lanbook.com/book/105386</w:t>
        </w:r>
      </w:hyperlink>
      <w:r w:rsidRPr="002A3569">
        <w:t xml:space="preserve">. </w:t>
      </w:r>
      <w:r>
        <w:t>- Загл. с экрана.</w:t>
      </w:r>
    </w:p>
    <w:p w:rsidR="00D73654" w:rsidRDefault="00D73654" w:rsidP="00D73654">
      <w:pPr>
        <w:pStyle w:val="Style10"/>
        <w:widowControl/>
        <w:ind w:firstLine="720"/>
        <w:jc w:val="both"/>
      </w:pPr>
      <w:r>
        <w:t xml:space="preserve">2. </w:t>
      </w:r>
      <w:r w:rsidRPr="002A3569">
        <w:t>Фомин, С.И. Планирование открытых горных работ [Электронный ресурс] : учебное пособие / С.И. Фомин, Д.Н. Лигоцкий, К.Р. Аргимбаев. — Э</w:t>
      </w:r>
      <w:r>
        <w:t>лектрон. дан. — Санкт-Петербург</w:t>
      </w:r>
      <w:r w:rsidRPr="002A3569">
        <w:t xml:space="preserve">: Лань, 2018. — 60 с. — Режим доступа: </w:t>
      </w:r>
      <w:hyperlink r:id="rId25" w:history="1">
        <w:r w:rsidRPr="00836C51">
          <w:rPr>
            <w:rStyle w:val="ac"/>
          </w:rPr>
          <w:t>https://e.lanbook.com/book/111897</w:t>
        </w:r>
      </w:hyperlink>
      <w:r w:rsidRPr="002A3569">
        <w:t xml:space="preserve">. </w:t>
      </w:r>
      <w:r>
        <w:t>- Загл. с экрана.</w:t>
      </w:r>
    </w:p>
    <w:p w:rsidR="00D73654" w:rsidRDefault="00D73654" w:rsidP="00D73654">
      <w:pPr>
        <w:tabs>
          <w:tab w:val="num" w:pos="1854"/>
        </w:tabs>
        <w:ind w:firstLine="540"/>
        <w:jc w:val="both"/>
      </w:pPr>
      <w:r>
        <w:t>3. Гавришев С.Е., Заляднов В.Ю., Пыталев И.А. Формирование и освоение техн</w:t>
      </w:r>
      <w:r>
        <w:t>о</w:t>
      </w:r>
      <w:r>
        <w:t>генных георесурсов. Определение параметров карьеров и отвалов: монография. - Ма</w:t>
      </w:r>
      <w:r>
        <w:t>г</w:t>
      </w:r>
      <w:r>
        <w:lastRenderedPageBreak/>
        <w:t>нитогорск: Изд-во Магнитогорск. гос. техн. ун-та им. Г.И. Носова, 2011. - 160 с.</w:t>
      </w:r>
    </w:p>
    <w:p w:rsidR="00D73654" w:rsidRPr="00174162" w:rsidRDefault="00D73654" w:rsidP="00D73654">
      <w:pPr>
        <w:tabs>
          <w:tab w:val="num" w:pos="1854"/>
        </w:tabs>
        <w:ind w:firstLine="540"/>
        <w:jc w:val="both"/>
      </w:pPr>
      <w:r>
        <w:t xml:space="preserve">4. Бурмистров К.В., Заляднов В.Ю. </w:t>
      </w:r>
      <w:r w:rsidRPr="00174162">
        <w:t>Процессы открытых горных работ: учебное пособие</w:t>
      </w:r>
      <w:r>
        <w:t xml:space="preserve">. </w:t>
      </w:r>
      <w:r w:rsidRPr="00174162">
        <w:t>Магнитогорск: Изд-во Магнитогорск. гос. тех</w:t>
      </w:r>
      <w:r>
        <w:t>н</w:t>
      </w:r>
      <w:r w:rsidRPr="00174162">
        <w:t>. ун-та им. Г.И. Носова, 201</w:t>
      </w:r>
      <w:r>
        <w:t>4</w:t>
      </w:r>
      <w:r w:rsidRPr="00174162">
        <w:t>. 222 с.</w:t>
      </w:r>
    </w:p>
    <w:p w:rsidR="00D73654" w:rsidRDefault="00D73654" w:rsidP="00D73654">
      <w:pPr>
        <w:pStyle w:val="Style10"/>
        <w:widowControl/>
        <w:ind w:firstLine="720"/>
        <w:jc w:val="both"/>
      </w:pPr>
      <w:r>
        <w:t>5. Гавришев С.Е., Пыталев И.А., Заляднов В.Ю., Павлова Е.В. Формирование и освоение техногенных георесурсов. Определение параметров карьеров при комплек</w:t>
      </w:r>
      <w:r>
        <w:t>с</w:t>
      </w:r>
      <w:r>
        <w:t>ном освоении участка недр земли: монография- Магнитогорск: Изд-во Магнитогорск. гос. техн. ун-та им. Г.И. Носова, 2015. - 107 с.</w:t>
      </w:r>
    </w:p>
    <w:p w:rsidR="00D73654" w:rsidRPr="006C7473" w:rsidRDefault="00D73654" w:rsidP="00D73654">
      <w:pPr>
        <w:tabs>
          <w:tab w:val="num" w:pos="1854"/>
        </w:tabs>
        <w:ind w:firstLine="540"/>
        <w:jc w:val="both"/>
      </w:pPr>
    </w:p>
    <w:p w:rsidR="00D73654" w:rsidRPr="00DF7290" w:rsidRDefault="00D73654" w:rsidP="00D736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73654" w:rsidRDefault="00D73654" w:rsidP="00D73654">
      <w:pPr>
        <w:tabs>
          <w:tab w:val="num" w:pos="1854"/>
        </w:tabs>
        <w:ind w:firstLine="540"/>
        <w:jc w:val="both"/>
      </w:pPr>
      <w:r>
        <w:t>1. Бурмистров К.В., Заляднов В.Ю., Кидяев В.А. Открытая разработка месторо</w:t>
      </w:r>
      <w:r>
        <w:t>ж</w:t>
      </w:r>
      <w:r>
        <w:t>дений полезных ископаемых: методические указания по выполнению практических р</w:t>
      </w:r>
      <w:r>
        <w:t>а</w:t>
      </w:r>
      <w:r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>
        <w:t>г</w:t>
      </w:r>
      <w:r>
        <w:t>нитогорск. гос. техн. ун-та им. Г.И. Носова, 2015. 47 с.</w:t>
      </w:r>
    </w:p>
    <w:p w:rsidR="00D73654" w:rsidRPr="009C39E6" w:rsidRDefault="00D73654" w:rsidP="00D73654">
      <w:pPr>
        <w:tabs>
          <w:tab w:val="num" w:pos="1854"/>
        </w:tabs>
        <w:ind w:firstLine="540"/>
        <w:jc w:val="both"/>
      </w:pPr>
      <w:r>
        <w:t>2. Гавришев С.Е., Доможиров Д.В., Караулов Г.А., Караулов Н.Г.</w:t>
      </w:r>
      <w:r w:rsidRPr="009C39E6">
        <w:t xml:space="preserve"> </w:t>
      </w:r>
      <w:r>
        <w:t>Вскрытие и си</w:t>
      </w:r>
      <w:r>
        <w:t>с</w:t>
      </w:r>
      <w:r>
        <w:t>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D73654" w:rsidRPr="009C39E6" w:rsidRDefault="00D73654" w:rsidP="00D73654">
      <w:pPr>
        <w:tabs>
          <w:tab w:val="num" w:pos="1854"/>
        </w:tabs>
        <w:ind w:firstLine="540"/>
        <w:jc w:val="both"/>
      </w:pPr>
      <w:r>
        <w:t>3. Угольников В.К., Бурмистров К.В., Колонюк А.А., Угольников Н.В.</w:t>
      </w:r>
      <w:r w:rsidRPr="009C39E6">
        <w:t xml:space="preserve"> </w:t>
      </w:r>
      <w:r>
        <w:t>Основы технологии открытой разработки</w:t>
      </w:r>
      <w:r w:rsidRPr="009C39E6">
        <w:t xml:space="preserve">. </w:t>
      </w:r>
      <w:r>
        <w:t xml:space="preserve">Методические указания и задания по выполнению курсовой работы </w:t>
      </w:r>
      <w:r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</w:t>
      </w:r>
      <w:r w:rsidRPr="009C39E6">
        <w:t>.</w:t>
      </w:r>
    </w:p>
    <w:p w:rsidR="00D73654" w:rsidRPr="009C39E6" w:rsidRDefault="00D73654" w:rsidP="00D73654">
      <w:pPr>
        <w:tabs>
          <w:tab w:val="num" w:pos="1854"/>
        </w:tabs>
        <w:ind w:firstLine="540"/>
        <w:jc w:val="both"/>
      </w:pPr>
    </w:p>
    <w:p w:rsidR="00D73654" w:rsidRDefault="00D73654" w:rsidP="00D736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D73654" w:rsidRPr="000D73AF" w:rsidRDefault="00D73654" w:rsidP="00D73654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097"/>
        <w:gridCol w:w="3120"/>
        <w:gridCol w:w="3071"/>
      </w:tblGrid>
      <w:tr w:rsidR="00530EAE" w:rsidRPr="00E87FAC" w:rsidTr="00175397"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530EAE" w:rsidRPr="00E87FAC" w:rsidRDefault="00530EAE" w:rsidP="0017539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530EAE" w:rsidRPr="00E87FAC" w:rsidTr="00175397"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Д-1227 от 08.10.2018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Д-757-17 от 27.06.2017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Д-593-16 от 20.05.2016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11.10.2021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27.07.2018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20.05.2017</w:t>
            </w:r>
          </w:p>
          <w:p w:rsidR="00530EAE" w:rsidRPr="008A7E06" w:rsidRDefault="00530EAE" w:rsidP="00175397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530EAE" w:rsidRPr="00E87FAC" w:rsidTr="00175397"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530EAE" w:rsidRPr="00E87FAC" w:rsidRDefault="00530EAE" w:rsidP="00175397">
            <w:pPr>
              <w:spacing w:before="120"/>
              <w:contextualSpacing/>
            </w:pPr>
            <w:r>
              <w:t>бессрочно</w:t>
            </w:r>
          </w:p>
        </w:tc>
      </w:tr>
      <w:tr w:rsidR="00530EAE" w:rsidRPr="00E87FAC" w:rsidTr="00175397">
        <w:tc>
          <w:tcPr>
            <w:tcW w:w="3190" w:type="dxa"/>
          </w:tcPr>
          <w:p w:rsidR="00530EAE" w:rsidRPr="00E87FAC" w:rsidRDefault="00530EAE" w:rsidP="00175397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530EAE" w:rsidRDefault="00530EAE" w:rsidP="00175397">
            <w:pPr>
              <w:spacing w:before="120"/>
              <w:contextualSpacing/>
            </w:pPr>
            <w:r>
              <w:t>Д-300-18 от 21.03.2018</w:t>
            </w:r>
          </w:p>
          <w:p w:rsidR="00530EAE" w:rsidRDefault="00530EAE" w:rsidP="00175397">
            <w:pPr>
              <w:spacing w:before="120"/>
              <w:contextualSpacing/>
            </w:pPr>
            <w:r>
              <w:t>Д-1347-17 от 20.12.2017</w:t>
            </w:r>
          </w:p>
          <w:p w:rsidR="00530EAE" w:rsidRDefault="00530EAE" w:rsidP="00175397">
            <w:pPr>
              <w:spacing w:before="120"/>
              <w:contextualSpacing/>
            </w:pPr>
            <w:r>
              <w:t>Д-1481-16 от 25.11.2016</w:t>
            </w:r>
          </w:p>
          <w:p w:rsidR="00530EAE" w:rsidRPr="00E319E8" w:rsidRDefault="00530EAE" w:rsidP="00175397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530EAE" w:rsidRDefault="00530EAE" w:rsidP="00175397">
            <w:pPr>
              <w:spacing w:before="120"/>
              <w:contextualSpacing/>
            </w:pPr>
            <w:r>
              <w:t>28.01.2020</w:t>
            </w:r>
          </w:p>
          <w:p w:rsidR="00530EAE" w:rsidRDefault="00530EAE" w:rsidP="00175397">
            <w:pPr>
              <w:spacing w:before="120"/>
              <w:contextualSpacing/>
            </w:pPr>
            <w:r>
              <w:t>21.03.2018</w:t>
            </w:r>
          </w:p>
          <w:p w:rsidR="00530EAE" w:rsidRDefault="00530EAE" w:rsidP="00175397">
            <w:pPr>
              <w:spacing w:before="120"/>
              <w:contextualSpacing/>
            </w:pPr>
            <w:r>
              <w:t>25.12.2017</w:t>
            </w:r>
          </w:p>
          <w:p w:rsidR="00530EAE" w:rsidRPr="00E319E8" w:rsidRDefault="00530EAE" w:rsidP="00175397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530EAE" w:rsidRPr="00E87FAC" w:rsidTr="00175397"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530EAE" w:rsidRPr="00E87FAC" w:rsidRDefault="00530EAE" w:rsidP="0017539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530EAE" w:rsidRPr="00E87FAC" w:rsidRDefault="00530EAE" w:rsidP="0017539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D73654" w:rsidRPr="00CB75DF" w:rsidRDefault="00D73654" w:rsidP="00D736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D73654" w:rsidRDefault="00D73654" w:rsidP="00D73654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73654" w:rsidRPr="004369DB" w:rsidRDefault="00D73654" w:rsidP="00D73654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6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D73654" w:rsidRPr="004369DB" w:rsidRDefault="00D73654" w:rsidP="00D73654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7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D73654" w:rsidRPr="004369DB" w:rsidRDefault="00D73654" w:rsidP="00D73654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8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D73654" w:rsidRDefault="00D73654" w:rsidP="00D73654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73654" w:rsidRPr="00AF2BB2" w:rsidRDefault="00D73654" w:rsidP="00D736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D150BD" w:rsidRPr="00AF2BB2" w:rsidRDefault="00D150BD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t>8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  <w:r w:rsidR="00C518F8" w:rsidRPr="00AF2BB2">
        <w:rPr>
          <w:rStyle w:val="FontStyle14"/>
          <w:sz w:val="24"/>
          <w:szCs w:val="24"/>
        </w:rPr>
        <w:t xml:space="preserve"> </w:t>
      </w:r>
      <w:r w:rsidR="007754E4" w:rsidRPr="00AF2BB2">
        <w:rPr>
          <w:rStyle w:val="FontStyle14"/>
          <w:sz w:val="24"/>
          <w:szCs w:val="24"/>
        </w:rPr>
        <w:t>(модул</w:t>
      </w:r>
      <w:r w:rsidR="00C518F8" w:rsidRPr="00AF2BB2">
        <w:rPr>
          <w:rStyle w:val="FontStyle14"/>
          <w:sz w:val="24"/>
          <w:szCs w:val="24"/>
        </w:rPr>
        <w:t>я</w:t>
      </w:r>
      <w:r w:rsidR="007754E4" w:rsidRPr="00AF2BB2">
        <w:rPr>
          <w:rStyle w:val="FontStyle14"/>
          <w:sz w:val="24"/>
          <w:szCs w:val="24"/>
        </w:rPr>
        <w:t>)</w:t>
      </w: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404A10" w:rsidRPr="00C17915" w:rsidRDefault="00404A10" w:rsidP="00404A1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04A10" w:rsidRPr="00C45EA7" w:rsidTr="00976421">
        <w:trPr>
          <w:tblHeader/>
        </w:trPr>
        <w:tc>
          <w:tcPr>
            <w:tcW w:w="1928" w:type="pct"/>
            <w:vAlign w:val="center"/>
          </w:tcPr>
          <w:p w:rsidR="00404A10" w:rsidRPr="00C45EA7" w:rsidRDefault="00404A10" w:rsidP="00976421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04A10" w:rsidRPr="00C45EA7" w:rsidRDefault="00404A10" w:rsidP="00976421">
            <w:pPr>
              <w:jc w:val="center"/>
            </w:pPr>
            <w:r w:rsidRPr="00C45EA7">
              <w:t>Оснащение аудитории</w:t>
            </w:r>
          </w:p>
        </w:tc>
      </w:tr>
      <w:tr w:rsidR="00404A10" w:rsidRPr="00C45EA7" w:rsidTr="00976421">
        <w:tc>
          <w:tcPr>
            <w:tcW w:w="1928" w:type="pct"/>
          </w:tcPr>
          <w:p w:rsidR="00404A10" w:rsidRPr="00C45EA7" w:rsidRDefault="00404A10" w:rsidP="00976421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404A10" w:rsidRPr="00C45EA7" w:rsidRDefault="00404A10" w:rsidP="00976421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404A10" w:rsidRPr="00C45EA7" w:rsidTr="00976421">
        <w:tc>
          <w:tcPr>
            <w:tcW w:w="1928" w:type="pct"/>
          </w:tcPr>
          <w:p w:rsidR="00404A10" w:rsidRPr="00410A4C" w:rsidRDefault="00404A10" w:rsidP="00976421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404A10" w:rsidRPr="00410A4C" w:rsidRDefault="00404A10" w:rsidP="00976421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404A10" w:rsidRPr="00C45EA7" w:rsidTr="00976421">
        <w:tc>
          <w:tcPr>
            <w:tcW w:w="1928" w:type="pct"/>
          </w:tcPr>
          <w:p w:rsidR="00404A10" w:rsidRPr="00227A79" w:rsidRDefault="00404A10" w:rsidP="00976421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404A10" w:rsidRDefault="00404A10" w:rsidP="00976421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404A10" w:rsidRPr="009C15F8" w:rsidRDefault="00404A10" w:rsidP="00976421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4C" w:rsidRDefault="00CB0E4C">
      <w:r>
        <w:separator/>
      </w:r>
    </w:p>
  </w:endnote>
  <w:endnote w:type="continuationSeparator" w:id="0">
    <w:p w:rsidR="00CB0E4C" w:rsidRDefault="00CB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CE" w:rsidRDefault="00873B7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D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4DCE" w:rsidRDefault="00764DC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CE" w:rsidRDefault="00873B7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D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6E44">
      <w:rPr>
        <w:rStyle w:val="a4"/>
        <w:noProof/>
      </w:rPr>
      <w:t>1</w:t>
    </w:r>
    <w:r>
      <w:rPr>
        <w:rStyle w:val="a4"/>
      </w:rPr>
      <w:fldChar w:fldCharType="end"/>
    </w:r>
  </w:p>
  <w:p w:rsidR="00764DCE" w:rsidRDefault="00764DC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4C" w:rsidRDefault="00CB0E4C">
      <w:r>
        <w:separator/>
      </w:r>
    </w:p>
  </w:footnote>
  <w:footnote w:type="continuationSeparator" w:id="0">
    <w:p w:rsidR="00CB0E4C" w:rsidRDefault="00CB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06D"/>
    <w:rsid w:val="00012B8F"/>
    <w:rsid w:val="000306DD"/>
    <w:rsid w:val="00036D6F"/>
    <w:rsid w:val="00050E8B"/>
    <w:rsid w:val="00054FE2"/>
    <w:rsid w:val="00055516"/>
    <w:rsid w:val="00063D00"/>
    <w:rsid w:val="00063D24"/>
    <w:rsid w:val="00071AF1"/>
    <w:rsid w:val="0008126B"/>
    <w:rsid w:val="0008161B"/>
    <w:rsid w:val="00091B3E"/>
    <w:rsid w:val="00094253"/>
    <w:rsid w:val="000A0A0E"/>
    <w:rsid w:val="000A15D1"/>
    <w:rsid w:val="000A1EB1"/>
    <w:rsid w:val="000A6749"/>
    <w:rsid w:val="000B0916"/>
    <w:rsid w:val="000C28CE"/>
    <w:rsid w:val="000C4C8A"/>
    <w:rsid w:val="000D29BA"/>
    <w:rsid w:val="000E33FF"/>
    <w:rsid w:val="000E37FC"/>
    <w:rsid w:val="000F10A7"/>
    <w:rsid w:val="001013BB"/>
    <w:rsid w:val="001071B9"/>
    <w:rsid w:val="00112110"/>
    <w:rsid w:val="00112858"/>
    <w:rsid w:val="00113E76"/>
    <w:rsid w:val="0011700F"/>
    <w:rsid w:val="00120951"/>
    <w:rsid w:val="0012639D"/>
    <w:rsid w:val="0013405F"/>
    <w:rsid w:val="001359C4"/>
    <w:rsid w:val="00152163"/>
    <w:rsid w:val="00153516"/>
    <w:rsid w:val="001642C2"/>
    <w:rsid w:val="001715B7"/>
    <w:rsid w:val="00173E53"/>
    <w:rsid w:val="00191C3D"/>
    <w:rsid w:val="00196A06"/>
    <w:rsid w:val="001A182E"/>
    <w:rsid w:val="001A4E6B"/>
    <w:rsid w:val="001D6AC3"/>
    <w:rsid w:val="001E7610"/>
    <w:rsid w:val="001F0E72"/>
    <w:rsid w:val="001F3A0A"/>
    <w:rsid w:val="001F4FF5"/>
    <w:rsid w:val="00203809"/>
    <w:rsid w:val="00214EB7"/>
    <w:rsid w:val="00216AE0"/>
    <w:rsid w:val="00216C60"/>
    <w:rsid w:val="00217581"/>
    <w:rsid w:val="00217A9E"/>
    <w:rsid w:val="00220733"/>
    <w:rsid w:val="002211BB"/>
    <w:rsid w:val="00224D9E"/>
    <w:rsid w:val="00232DDC"/>
    <w:rsid w:val="00235FBB"/>
    <w:rsid w:val="0024270B"/>
    <w:rsid w:val="00243DE6"/>
    <w:rsid w:val="00245CF5"/>
    <w:rsid w:val="0026067D"/>
    <w:rsid w:val="002637CD"/>
    <w:rsid w:val="00270C75"/>
    <w:rsid w:val="002768D6"/>
    <w:rsid w:val="00277AD1"/>
    <w:rsid w:val="00281B5A"/>
    <w:rsid w:val="00283CED"/>
    <w:rsid w:val="002849E8"/>
    <w:rsid w:val="0029220F"/>
    <w:rsid w:val="00294D4A"/>
    <w:rsid w:val="002A010E"/>
    <w:rsid w:val="002A34AC"/>
    <w:rsid w:val="002A3569"/>
    <w:rsid w:val="002B0CF6"/>
    <w:rsid w:val="002C0376"/>
    <w:rsid w:val="002D2BD1"/>
    <w:rsid w:val="002D2F15"/>
    <w:rsid w:val="002D69AA"/>
    <w:rsid w:val="00304B68"/>
    <w:rsid w:val="003153DA"/>
    <w:rsid w:val="003163C2"/>
    <w:rsid w:val="00316D0D"/>
    <w:rsid w:val="0032470F"/>
    <w:rsid w:val="00325921"/>
    <w:rsid w:val="00326B63"/>
    <w:rsid w:val="003324E5"/>
    <w:rsid w:val="00342188"/>
    <w:rsid w:val="003425E1"/>
    <w:rsid w:val="003435FA"/>
    <w:rsid w:val="00343FC9"/>
    <w:rsid w:val="003520A2"/>
    <w:rsid w:val="00365579"/>
    <w:rsid w:val="00370C98"/>
    <w:rsid w:val="003776A2"/>
    <w:rsid w:val="00386A49"/>
    <w:rsid w:val="0039211A"/>
    <w:rsid w:val="00393E94"/>
    <w:rsid w:val="003A02CE"/>
    <w:rsid w:val="003A1AA6"/>
    <w:rsid w:val="003A6BD2"/>
    <w:rsid w:val="003B573B"/>
    <w:rsid w:val="003B71FE"/>
    <w:rsid w:val="003D2962"/>
    <w:rsid w:val="003D2D66"/>
    <w:rsid w:val="003F5BA4"/>
    <w:rsid w:val="003F660E"/>
    <w:rsid w:val="00404A10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7DDA"/>
    <w:rsid w:val="00447C23"/>
    <w:rsid w:val="00452814"/>
    <w:rsid w:val="0045578A"/>
    <w:rsid w:val="00457F11"/>
    <w:rsid w:val="004648EE"/>
    <w:rsid w:val="00472C4F"/>
    <w:rsid w:val="00481694"/>
    <w:rsid w:val="00486586"/>
    <w:rsid w:val="0048775E"/>
    <w:rsid w:val="0049093F"/>
    <w:rsid w:val="004B7AC9"/>
    <w:rsid w:val="004C4D33"/>
    <w:rsid w:val="004D7A45"/>
    <w:rsid w:val="004F032A"/>
    <w:rsid w:val="004F65FC"/>
    <w:rsid w:val="004F7855"/>
    <w:rsid w:val="00501FD5"/>
    <w:rsid w:val="005118D1"/>
    <w:rsid w:val="0052371C"/>
    <w:rsid w:val="00530EAE"/>
    <w:rsid w:val="00546CB6"/>
    <w:rsid w:val="00551238"/>
    <w:rsid w:val="0055439D"/>
    <w:rsid w:val="00555693"/>
    <w:rsid w:val="00556022"/>
    <w:rsid w:val="00562545"/>
    <w:rsid w:val="005678A2"/>
    <w:rsid w:val="0057672B"/>
    <w:rsid w:val="00584079"/>
    <w:rsid w:val="00584A9F"/>
    <w:rsid w:val="00587BFB"/>
    <w:rsid w:val="00595650"/>
    <w:rsid w:val="005971B4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C26"/>
    <w:rsid w:val="006114BF"/>
    <w:rsid w:val="00613D74"/>
    <w:rsid w:val="00624F44"/>
    <w:rsid w:val="00625FC3"/>
    <w:rsid w:val="00640170"/>
    <w:rsid w:val="006434CF"/>
    <w:rsid w:val="00652B86"/>
    <w:rsid w:val="00653536"/>
    <w:rsid w:val="0066149E"/>
    <w:rsid w:val="00677824"/>
    <w:rsid w:val="00680A0A"/>
    <w:rsid w:val="0068683C"/>
    <w:rsid w:val="00695F74"/>
    <w:rsid w:val="006A3BCA"/>
    <w:rsid w:val="006A7D74"/>
    <w:rsid w:val="006B7FD8"/>
    <w:rsid w:val="006C1369"/>
    <w:rsid w:val="006C3A50"/>
    <w:rsid w:val="006C45F4"/>
    <w:rsid w:val="006D7820"/>
    <w:rsid w:val="006D7E94"/>
    <w:rsid w:val="006E2E69"/>
    <w:rsid w:val="006F41F2"/>
    <w:rsid w:val="0071602D"/>
    <w:rsid w:val="0072457B"/>
    <w:rsid w:val="00724C48"/>
    <w:rsid w:val="00731C4E"/>
    <w:rsid w:val="00733852"/>
    <w:rsid w:val="007373E2"/>
    <w:rsid w:val="00741C7A"/>
    <w:rsid w:val="007460B2"/>
    <w:rsid w:val="00764DCE"/>
    <w:rsid w:val="00767409"/>
    <w:rsid w:val="007707B9"/>
    <w:rsid w:val="00772C12"/>
    <w:rsid w:val="00772FA8"/>
    <w:rsid w:val="00773257"/>
    <w:rsid w:val="007754E4"/>
    <w:rsid w:val="00775BCB"/>
    <w:rsid w:val="00777CC9"/>
    <w:rsid w:val="00781241"/>
    <w:rsid w:val="00794801"/>
    <w:rsid w:val="007A0AB1"/>
    <w:rsid w:val="007B5803"/>
    <w:rsid w:val="007C088E"/>
    <w:rsid w:val="007C2A57"/>
    <w:rsid w:val="007C63A9"/>
    <w:rsid w:val="007D6490"/>
    <w:rsid w:val="007D66CB"/>
    <w:rsid w:val="007E32A3"/>
    <w:rsid w:val="007F71FB"/>
    <w:rsid w:val="007F7A6A"/>
    <w:rsid w:val="0080192C"/>
    <w:rsid w:val="008064C9"/>
    <w:rsid w:val="00806CC2"/>
    <w:rsid w:val="00815833"/>
    <w:rsid w:val="00817A24"/>
    <w:rsid w:val="008212FF"/>
    <w:rsid w:val="00827CFA"/>
    <w:rsid w:val="00834280"/>
    <w:rsid w:val="00842277"/>
    <w:rsid w:val="008439AC"/>
    <w:rsid w:val="00854DC0"/>
    <w:rsid w:val="00862E4E"/>
    <w:rsid w:val="0086698D"/>
    <w:rsid w:val="00873B76"/>
    <w:rsid w:val="0087519F"/>
    <w:rsid w:val="00890801"/>
    <w:rsid w:val="00895FEE"/>
    <w:rsid w:val="008968EF"/>
    <w:rsid w:val="008A20F0"/>
    <w:rsid w:val="008B42E0"/>
    <w:rsid w:val="008B4DDF"/>
    <w:rsid w:val="008B4E88"/>
    <w:rsid w:val="008B5629"/>
    <w:rsid w:val="008C25BD"/>
    <w:rsid w:val="008C2E87"/>
    <w:rsid w:val="008C4DBB"/>
    <w:rsid w:val="008C5019"/>
    <w:rsid w:val="008C6570"/>
    <w:rsid w:val="008D0BD1"/>
    <w:rsid w:val="008F0A4A"/>
    <w:rsid w:val="008F7C09"/>
    <w:rsid w:val="009125BE"/>
    <w:rsid w:val="009324CE"/>
    <w:rsid w:val="009345C6"/>
    <w:rsid w:val="009429A6"/>
    <w:rsid w:val="0094427C"/>
    <w:rsid w:val="00950950"/>
    <w:rsid w:val="00951A73"/>
    <w:rsid w:val="009739B5"/>
    <w:rsid w:val="00974B7A"/>
    <w:rsid w:val="00974FA5"/>
    <w:rsid w:val="009756EB"/>
    <w:rsid w:val="00975EEA"/>
    <w:rsid w:val="009858CE"/>
    <w:rsid w:val="00985C64"/>
    <w:rsid w:val="00985CDC"/>
    <w:rsid w:val="00992E18"/>
    <w:rsid w:val="0099655F"/>
    <w:rsid w:val="009A7F66"/>
    <w:rsid w:val="009C15E7"/>
    <w:rsid w:val="009D46B3"/>
    <w:rsid w:val="009F09AA"/>
    <w:rsid w:val="009F30D6"/>
    <w:rsid w:val="00A01651"/>
    <w:rsid w:val="00A155EA"/>
    <w:rsid w:val="00A15CBD"/>
    <w:rsid w:val="00A16B54"/>
    <w:rsid w:val="00A16C34"/>
    <w:rsid w:val="00A17410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2399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1395"/>
    <w:rsid w:val="00AC349A"/>
    <w:rsid w:val="00AC3FAF"/>
    <w:rsid w:val="00AD59B5"/>
    <w:rsid w:val="00AE1607"/>
    <w:rsid w:val="00AE1D89"/>
    <w:rsid w:val="00AE3915"/>
    <w:rsid w:val="00AE5737"/>
    <w:rsid w:val="00AE65C8"/>
    <w:rsid w:val="00AF2BB2"/>
    <w:rsid w:val="00AF3DBC"/>
    <w:rsid w:val="00B013C3"/>
    <w:rsid w:val="00B03F6C"/>
    <w:rsid w:val="00B23837"/>
    <w:rsid w:val="00B33BE4"/>
    <w:rsid w:val="00B366B2"/>
    <w:rsid w:val="00B405DE"/>
    <w:rsid w:val="00B51254"/>
    <w:rsid w:val="00B5458A"/>
    <w:rsid w:val="00B56311"/>
    <w:rsid w:val="00B67105"/>
    <w:rsid w:val="00B7287F"/>
    <w:rsid w:val="00B72C01"/>
    <w:rsid w:val="00B82F70"/>
    <w:rsid w:val="00B91227"/>
    <w:rsid w:val="00B93B6E"/>
    <w:rsid w:val="00B94BF1"/>
    <w:rsid w:val="00B96639"/>
    <w:rsid w:val="00BA5579"/>
    <w:rsid w:val="00BC17AA"/>
    <w:rsid w:val="00BD51D2"/>
    <w:rsid w:val="00BD7EEF"/>
    <w:rsid w:val="00BE137D"/>
    <w:rsid w:val="00C00322"/>
    <w:rsid w:val="00C0251B"/>
    <w:rsid w:val="00C15BB4"/>
    <w:rsid w:val="00C170F6"/>
    <w:rsid w:val="00C264D3"/>
    <w:rsid w:val="00C47306"/>
    <w:rsid w:val="00C518F8"/>
    <w:rsid w:val="00C519F2"/>
    <w:rsid w:val="00C532C1"/>
    <w:rsid w:val="00C73D3C"/>
    <w:rsid w:val="00C8359C"/>
    <w:rsid w:val="00C93436"/>
    <w:rsid w:val="00CA319E"/>
    <w:rsid w:val="00CA7C26"/>
    <w:rsid w:val="00CB0E4C"/>
    <w:rsid w:val="00CD7705"/>
    <w:rsid w:val="00CE1FFF"/>
    <w:rsid w:val="00CE450F"/>
    <w:rsid w:val="00D05B95"/>
    <w:rsid w:val="00D11B9A"/>
    <w:rsid w:val="00D12BFA"/>
    <w:rsid w:val="00D150BD"/>
    <w:rsid w:val="00D157E7"/>
    <w:rsid w:val="00D15E9D"/>
    <w:rsid w:val="00D25F27"/>
    <w:rsid w:val="00D26D5B"/>
    <w:rsid w:val="00D40C06"/>
    <w:rsid w:val="00D532E7"/>
    <w:rsid w:val="00D625E0"/>
    <w:rsid w:val="00D62986"/>
    <w:rsid w:val="00D656D8"/>
    <w:rsid w:val="00D67FAA"/>
    <w:rsid w:val="00D707CB"/>
    <w:rsid w:val="00D73654"/>
    <w:rsid w:val="00D75CF7"/>
    <w:rsid w:val="00D8375C"/>
    <w:rsid w:val="00D94654"/>
    <w:rsid w:val="00DA5750"/>
    <w:rsid w:val="00DA6290"/>
    <w:rsid w:val="00DD3721"/>
    <w:rsid w:val="00DE367E"/>
    <w:rsid w:val="00DE6674"/>
    <w:rsid w:val="00DF2D16"/>
    <w:rsid w:val="00DF7290"/>
    <w:rsid w:val="00E02028"/>
    <w:rsid w:val="00E022FE"/>
    <w:rsid w:val="00E0239A"/>
    <w:rsid w:val="00E06A4F"/>
    <w:rsid w:val="00E102E3"/>
    <w:rsid w:val="00E21080"/>
    <w:rsid w:val="00E239B6"/>
    <w:rsid w:val="00E26E44"/>
    <w:rsid w:val="00E273CF"/>
    <w:rsid w:val="00E37FF3"/>
    <w:rsid w:val="00E451B4"/>
    <w:rsid w:val="00E452BE"/>
    <w:rsid w:val="00E458B3"/>
    <w:rsid w:val="00E50E6C"/>
    <w:rsid w:val="00E51396"/>
    <w:rsid w:val="00E55F41"/>
    <w:rsid w:val="00E652E2"/>
    <w:rsid w:val="00E95DD8"/>
    <w:rsid w:val="00E9746F"/>
    <w:rsid w:val="00EA6477"/>
    <w:rsid w:val="00EB1160"/>
    <w:rsid w:val="00EC14A7"/>
    <w:rsid w:val="00EC2A23"/>
    <w:rsid w:val="00EC407A"/>
    <w:rsid w:val="00ED4A96"/>
    <w:rsid w:val="00ED55EC"/>
    <w:rsid w:val="00EE2925"/>
    <w:rsid w:val="00EE7A20"/>
    <w:rsid w:val="00EF2140"/>
    <w:rsid w:val="00EF7C53"/>
    <w:rsid w:val="00F01953"/>
    <w:rsid w:val="00F2278D"/>
    <w:rsid w:val="00F231A0"/>
    <w:rsid w:val="00F23708"/>
    <w:rsid w:val="00F3112B"/>
    <w:rsid w:val="00F31406"/>
    <w:rsid w:val="00F34B47"/>
    <w:rsid w:val="00F35C1D"/>
    <w:rsid w:val="00F41523"/>
    <w:rsid w:val="00F43A1F"/>
    <w:rsid w:val="00F43ACE"/>
    <w:rsid w:val="00F555E0"/>
    <w:rsid w:val="00F655DC"/>
    <w:rsid w:val="00F75D07"/>
    <w:rsid w:val="00FA2123"/>
    <w:rsid w:val="00FA4406"/>
    <w:rsid w:val="00FB0979"/>
    <w:rsid w:val="00FB6316"/>
    <w:rsid w:val="00FC6196"/>
    <w:rsid w:val="00FD32EB"/>
    <w:rsid w:val="00FE6C50"/>
    <w:rsid w:val="00FF181C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A45"/>
  </w:style>
  <w:style w:type="paragraph" w:customStyle="1" w:styleId="Style2">
    <w:name w:val="Style2"/>
    <w:basedOn w:val="a"/>
    <w:rsid w:val="004D7A45"/>
  </w:style>
  <w:style w:type="paragraph" w:customStyle="1" w:styleId="Style3">
    <w:name w:val="Style3"/>
    <w:basedOn w:val="a"/>
    <w:rsid w:val="004D7A45"/>
  </w:style>
  <w:style w:type="paragraph" w:customStyle="1" w:styleId="Style4">
    <w:name w:val="Style4"/>
    <w:basedOn w:val="a"/>
    <w:rsid w:val="004D7A45"/>
  </w:style>
  <w:style w:type="paragraph" w:customStyle="1" w:styleId="Style5">
    <w:name w:val="Style5"/>
    <w:basedOn w:val="a"/>
    <w:rsid w:val="004D7A45"/>
  </w:style>
  <w:style w:type="paragraph" w:customStyle="1" w:styleId="Style6">
    <w:name w:val="Style6"/>
    <w:basedOn w:val="a"/>
    <w:rsid w:val="004D7A45"/>
  </w:style>
  <w:style w:type="paragraph" w:customStyle="1" w:styleId="Style7">
    <w:name w:val="Style7"/>
    <w:basedOn w:val="a"/>
    <w:rsid w:val="004D7A45"/>
  </w:style>
  <w:style w:type="paragraph" w:customStyle="1" w:styleId="Style8">
    <w:name w:val="Style8"/>
    <w:basedOn w:val="a"/>
    <w:rsid w:val="004D7A45"/>
  </w:style>
  <w:style w:type="character" w:customStyle="1" w:styleId="FontStyle11">
    <w:name w:val="Font Style11"/>
    <w:basedOn w:val="a0"/>
    <w:rsid w:val="004D7A4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D7A4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D7A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D7A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D7A4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D7A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D7A4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  <w:style w:type="paragraph" w:styleId="af5">
    <w:name w:val="List Paragraph"/>
    <w:basedOn w:val="a"/>
    <w:uiPriority w:val="34"/>
    <w:qFormat/>
    <w:rsid w:val="00404A10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hyperlink" Target="https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9.emf"/><Relationship Id="rId25" Type="http://schemas.openxmlformats.org/officeDocument/2006/relationships/hyperlink" Target="https://e.lanbook.com/book/111897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yperlink" Target="https://e.lanbook.com/reader/book/101753/" TargetMode="External"/><Relationship Id="rId29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5386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s://e.lanbook.com/reader/book/105426/" TargetMode="External"/><Relationship Id="rId28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d.simakov</cp:lastModifiedBy>
  <cp:revision>2</cp:revision>
  <cp:lastPrinted>2012-03-28T09:55:00Z</cp:lastPrinted>
  <dcterms:created xsi:type="dcterms:W3CDTF">2020-10-29T07:26:00Z</dcterms:created>
  <dcterms:modified xsi:type="dcterms:W3CDTF">2020-10-29T07:26:00Z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